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李宏龄的票号成败论</w:t>
        <w:br/>
        <w:t>与近代中国公司制度的缺失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6"/>
        </w:rPr>
        <w:t>朱振坤｜课堂讲稿｜对应终版1027 PPT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按终版PPT的14页逐页撰写，正式讲述约3371汉字，按15分钟安排，包含停顿、读引文和切页。时间供排练参考。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每节正文可以直接朗读。“切页提示”和“出处”用于备课，不在现场朗读。第13页收束内容，第14页单独致谢。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PPT页码</w:t>
            </w:r>
          </w:p>
        </w:tc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内容</w:t>
            </w:r>
          </w:p>
        </w:tc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参考时间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题目与路线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00:00—00:25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李宏龄及两部文书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00:25—01:25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班期与用人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01:25—02:30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票号兴衰与竞争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02:30—04:00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各埠来信中的银行优势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04:00—05:25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联合办行及个别改组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05:25—06:40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7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梁启超的比较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06:40—07:45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8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二元对立之争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07:45—08:45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9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有限责任与风险分担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08:45—09:55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三个投资者行为机制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09:55—11:20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11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有限责任法的必要性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11:20—12:45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12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治理与制度环境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12:45—14:05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13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结语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14:05—14:50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14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致谢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14:50—15:00</w:t>
            </w:r>
          </w:p>
        </w:tc>
      </w:tr>
    </w:tbl>
    <w:p>
      <w:pPr>
        <w:pStyle w:val="Heading2"/>
        <w:pageBreakBefore/>
      </w:pPr>
      <w:r>
        <w:t>第1页｜李宏龄的票号成败论与近代中国公司制度的缺失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00:00—00:25  ·  25秒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老师、同学们，大家好。我今天汇报的是《李宏龄的票号成败论与近代中国公司制度的缺失》。这篇文章讨论的核心问题是，曾经信用卓著的山西票号，为什么在清末逐渐失去优势，又为什么没能顺利完成向银行的转型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我会按照三个部分展开：先介绍李宏龄和他留下的文书，再看票号的成败与改制主张，最后讨论有限责任和公司制度。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切页提示：介绍三部分后，切到人物与史料。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出处：主文献第39—49页。</w:t>
      </w:r>
    </w:p>
    <w:p>
      <w:pPr>
        <w:pStyle w:val="Heading2"/>
      </w:pPr>
      <w:r>
        <w:t>第2页｜李宏龄与两部票号文书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00:25—01:25  ·  60秒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先介绍李宏龄。他在蔚丰厚票号任职五十余年，曾经主持京师、上海和汉口分号的经营，所以他对票号的认识，来自长期的一线经验。票号的经营情况通常不向外人公开，他留下的两部书，就给我们提供了一个观察内部运作的窗口。这里要区分《同舟忠告》和《山西票商成败记》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《同舟忠告》收录了一八九〇年至一九一二年的部分工作书信，主要写给总号，讨论日常经营和改革；《山西票商成败记》的主体，则是一九〇八至一九〇九年围绕合股办银行的往来通信，既有倡议，也有各地的回信。两书都在一九一七年刊印，但书信本身形成得更早。这个时间差，后面理解关于票号改革的争论时还会用到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切页提示：两部书分别对应日常经营与联合办行，随后进入具体例子。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出处：主文献第39—40页。</w:t>
      </w:r>
    </w:p>
    <w:p>
      <w:pPr>
        <w:pStyle w:val="Heading2"/>
        <w:pageBreakBefore/>
      </w:pPr>
      <w:r>
        <w:t>第3页｜从班期与用人，看票号经营的惯例和局限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01:25—02:30  ·  65秒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先从两个日常问题看李宏龄的改革思路。第一个是班期。票号职员到外地任职，按照旧规，三年内不能回乡。这有利于熟悉业务，也能节省旅费，但对家庭生活、健康和人才留任，都有不利影响。李宏龄注意到，铁路通行以后，往返已经方便得多，于是提出“年轻诸伙，改为两年下班一次”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为了平衡增加的旅费，他又建议减少衣费。因此，这项建议同时考虑了人情、留人和经营成本。第二个是用人。他说，“全仗人力经营，方可立足”，希望将有经验的郭倍瑾调回京号，因为当地得力的人员难找。从这里可以看出，他重视能力与岗位是否匹配；但这种调动仍需要个人推荐和总号认可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票号并非没有规则，只是规则的调整和人员的任用，较多地依靠个人经验与信誉。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切页提示：读两处短引文；班期强调成本调整，用人强调岗位需要与推荐机制。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出处：主文献第40页，转引《同舟忠告》。</w:t>
      </w:r>
    </w:p>
    <w:p>
      <w:pPr>
        <w:pStyle w:val="Heading2"/>
      </w:pPr>
      <w:r>
        <w:t>第4页｜票号由盛转衰：原有业务为什么难以维持？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02:30—04:00  ·  90秒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接下来进入第二部分，先看票号由盛转衰的过程。咸丰、同治时期，军饷、协款和赈灾资金需要跨地区调拨，票号凭借分号网络和可靠的兑现能力扩大了经营。庚子危机中，各地协力应付兑现，又进一步提高了信用。但后来，支撑这些业务的条件发生了变化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国内银行承接官款，以较强的资金实力争取存款和贷款客户；外国银行也在扩展市场。一九〇八年的银行则例进一步要求注册，超过规定期限仍未注册，就不能继续办理官款的存放和汇兑。票号面对的，是客户、资金和经营资格同时受到影响。辛亥革命又使这些困难集中爆发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用一句话概括：“外欠则处处倒账，欠外则人人提款。”这里的外欠，是别人欠票号的钱，收不回来；欠外，是票号欠客户的钱，却被集中要求提取。再加上各省钞票折价收受，票号一边承受资产损失，一边又要应付提款，过去积累的信用也就越来越难以支撑经营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切页提示：先讲兴盛条件，再转入竞争与辛亥危机；“外欠／欠外”处停顿解释。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出处：主文献第41—42页。</w:t>
      </w:r>
    </w:p>
    <w:p>
      <w:pPr>
        <w:pStyle w:val="Heading2"/>
        <w:pageBreakBefore/>
      </w:pPr>
      <w:r>
        <w:t>第5页｜各埠来信：新式银行的优势体现在哪里？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04:00—05:25  ·  85秒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各地来信把银行的优势说得更加具体。首先是钞票发行。营口票号担心，客户“夹带钞票即能办事，何必又出汇费乎”。意思是，有些异地支付可以直接带钞票完成，就不再需要付费办理汇兑。这样，票号不但可能少做生意，汇水，也就是汇兑的费用或差价，也更难提高。其次是抵押贷款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汉口来信认为，票号虽然熟悉客户，但了解总有不周到的地方；银行有押款的办法，可以借抵押物为贷款增加保障。这也是改革者希望开展的新业务。第三是官方保护。奉天票号抱怨，发生倒账时，“先尽该等之款悉数清偿”，也就是先把欠银行的钱还清，票号排在后面。如果可供清偿的财产有限，票号就更容易承担损失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所以，银行的优势不只在业务和资金，还包括官方认可和实际待遇。票号想要改组银行，也与改善这种不利处境有关。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切页提示：按PPT三行讲钞票、抵押贷款、官方保护；不用逐字读全表。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出处：主文献第43—45页，各埠票号来信。</w:t>
      </w:r>
    </w:p>
    <w:p>
      <w:pPr>
        <w:pStyle w:val="Heading2"/>
      </w:pPr>
      <w:r>
        <w:t>第6页｜李宏龄的办法：合股办银行，为票号另谋出路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05:25—06:40  ·  75秒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针对这些问题，李宏龄的办法是各票号联合出资，另设银行。倡议中，各号先出三万至五万两，目标股本五百万两；再由各号调拨人员，另立账簿，按股分配利润，并积累公积。这里列出的是筹办方案，不能当成已经筹到的资本。新银行设立以后，原来的票号怎么办？他的回答是：“纵使票号尽废，有银行尚可延一线生机。”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也就是说，可以先让两者并存，把原来的资本、人员和业务逐渐转入银行。保留出路，比维持原来的字号更重要。不过，各地支持办银行，并不代表具体意见已经一致。成都方案强调官股和山西资本，还提出无限责任银行，与李宏龄的有限责任主张不同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最终，联合计划没有实现；而蔚丰厚后来单独改组为银行，则是另外一件事，需要区分开。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切页提示：数字作为方案介绍；突出并存过渡，以及联合计划和个别改组的区别。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出处：主文献第40、42—45、49页。</w:t>
      </w:r>
    </w:p>
    <w:p>
      <w:pPr>
        <w:pStyle w:val="Heading2"/>
        <w:pageBreakBefore/>
      </w:pPr>
      <w:r>
        <w:t>第7页｜梁启超的比较：票号为什么必须改变？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06:40—07:45  ·  65秒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一九一二年，梁启超在票商欢迎会上，也讨论了票号的出路。他将票号与西方传统钱商比较：两者都做存汇业务，利用地区之间的货币差异获利，也都重视出票信用。但后来，一部分西方钱商逐渐改良为银行，中国票号则较多地守住旧业。他指出，票号不能只依赖原来的获利条件，因为这些条件本身需要改变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金库改革，会减少原来的官款业务；币制统一，会改变利用各地平色差异获利的条件。这里的平色，涉及银两衡量标准和成色等差异。再加上中央银行的缺位和外国银行的扩张，单个票号即使有资本，也难以应对。所以，问题已经超出某一家票号能否赚钱，还关系到国家金融制度怎样改进。票号需要在这个变化中调整自身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切页提示：简讲比较起点，重点解释三重压力与行业利益变化。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出处：主文献第45—46页，转引梁启超1912年演说。</w:t>
      </w:r>
    </w:p>
    <w:p>
      <w:pPr>
        <w:pStyle w:val="Heading2"/>
      </w:pPr>
      <w:r>
        <w:t>第8页｜“二元对立”之争：怎样回应？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07:45—08:45  ·  60秒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对于这种解释，也存在争论。王路曼的批评是，相关叙述把传统票号和西式金融机构放到两个对立的位置，又把分号经理塑造成进取的一方，把内地所有者塑造成保守的一方。这样，会不会把复杂的历史讲得过于整齐？这里的回应可以从两点理解。第一是史料时序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改革书信写于一九〇八至一九〇九年，早于梁启超的演说，也早于一九一七年的出版，说明改革主张在实际经营中就已经存在。第二是评价对象。一个票商家庭退出金融业，转投其他行业后继续获利，并不等于票号这个金融组织完成了转型。两种成败标准不能直接替换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当然，早期书信能够证明当时已有改革思考，至于后来怎样编选和呈现这些材料，仍然可以进一步讨论。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切页提示：先说明批评针对什么，再看时间与成败对象；不逐年重复两遍。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出处：主文献第46—47页；王路曼观点依主文引述。</w:t>
      </w:r>
    </w:p>
    <w:p>
      <w:pPr>
        <w:pStyle w:val="Heading2"/>
        <w:pageBreakBefore/>
      </w:pPr>
      <w:r>
        <w:t>第9页｜有限责任：限制股东损失，改变风险分担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08:45—09:55  ·  70秒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接下来进入第三部分。李宏龄说，银行可以设为有限公司，即使亏损，也“不过其已出之资，不能再认赔累也”。这句话说明，他已经注意到股东承担损失的边界。借助莫斯的分析，我们可以进一步理解它对投资的影响。首先要分清，有限责任不等于公司只承担有限的债务，公司仍然要用自己的全部财产偿债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受到限制的，是股东因公司债务而承担的追加责任。在已经缴足出资、没有额外担保等情况下，股东的其他个人财产通常不会仅因持股而继续被追索。这样，股东的最坏损失下降了；但债权人不能获得足额清偿的可能性会提高，因而可能要求更高利率、抵押或担保。风险并没有消失，而是在不同主体之间重新分配了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切页提示：先读李宏龄原话，随后比较股东与债权人；明确公司仍须偿债。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出处：主文献第42、47—48页。</w:t>
      </w:r>
    </w:p>
    <w:p>
      <w:pPr>
        <w:pStyle w:val="Heading2"/>
      </w:pPr>
      <w:r>
        <w:t>第10页｜投资者为什么重视有限责任？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09:55—11:20  ·  85秒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投资者为什么如此看重这条边界？可以从三个机制理解。第一是财富的边际效用递减。同样一笔损失，对拥有不同财富的人，影响并不一样；尤其是损失全部身家，会直接威胁家庭生活。因此，免于因一次企业失败而失去其余财产，对投资者很有价值。第二是彩票效应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最坏结果止于一笔出资，而企业成功可能带来较高收益，这种损失有上限、潜在收益较大的结构，会增强投资吸引力。但它当然不意味着买股票一定赚钱。第三是确定性效应。即使倾家荡产的概率很小，人们仍然可能格外在意，能不能把这一项风险排除。有限责任让投资时的最大责任更容易预先确定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把三点放在一起看，第一点解释损失有多痛苦，第二点解释收益结构为什么吸引人，第三点解释明确的损失边界为什么重要。这些因素共同影响资本是否愿意进入企业。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切页提示：三个机制分别对应损失的影响、收益的结构和边界的确定性。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出处：主文献第47—48页。</w:t>
      </w:r>
    </w:p>
    <w:p>
      <w:pPr>
        <w:pStyle w:val="Heading2"/>
        <w:pageBreakBefore/>
      </w:pPr>
      <w:r>
        <w:t>第11页｜为什么还需要有限责任法？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11:20—12:45  ·  85秒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既然有限责任有好处，为什么不能只靠私人合同，还需要法律？首先，合同只能约束参与签约的人。比如未来事故的受害者，事前往往根本不知道是谁，不可能全部加入协商。其次，公司面对银行、供应商等很多债权人，如果每一笔交易都重新谈责任边界，协调成本会很高。法律提供统一规则，就能减少这些困难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第三，是信号和默认规则的作用。如果通常都承担无限责任，某家企业却主动请求免责，债权人可能怀疑，它是否知道自己有更高的违约风险。这就涉及逆向选择。有限责任成为通行规则以后，企业不必再单独发出这种请求。而同样承担有限责任，主动索取免责和遵循一般规则，给债权人的印象也可能不同，这又涉及框架效应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因此，法律改变的不只是赔多少，还包括人们怎样理解责任安排。双方仍可另行协商，例如要求股东提供个人担保。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切页提示：按合同边界、协商成本、信号与默认规则展开，最后补个人担保。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出处：主文献第48页。</w:t>
      </w:r>
    </w:p>
    <w:p>
      <w:pPr>
        <w:pStyle w:val="Heading2"/>
      </w:pPr>
      <w:r>
        <w:t>第12页｜票号为什么未能完成公司化？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12:45—14:05  ·  80秒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最后把这些机制放回票号。票号并不是没有治理制度。它依靠地缘信用，通过避亲举乡选择人员，又用号规、奖金和股俸形成约束与激励。这些安排曾经支持了经营。但当改革要求不同票号共同出资、重新安排权力和责任时，既有决策方式没有促成联合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对这种局限，有一句很直接的描述：“各总号既囿于见闻，复墨守成法”，蔚丰厚总号负责人毛宏瀚等人也反对重组。再往外看，还存在更大的制度环境问题。柯比的研究提示，政权对工商财产的侵扰会削弱信任，公司形式即使已经出现，也不等于相应的法律保障和治理规则已经稳固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所以，这里的公司制度缺失，不能理解为完全没有公司或公司法。从票号延伸到股份公司，还可以看到“重融资、轻治理”的问题：把资金集中起来以后，怎样决策、怎样监督、怎样约束权力，仍需要制度保障。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切页提示：先说明传统治理已有成效，再讲跨号改革与制度环境，最后点到当代延伸。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出处：主文献第48—49页。</w:t>
      </w:r>
    </w:p>
    <w:p>
      <w:pPr>
        <w:pStyle w:val="Heading2"/>
        <w:pageBreakBefore/>
      </w:pPr>
      <w:r>
        <w:t>第13页｜结语：票号成败给出的制度问题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14:05—14:50  ·  45秒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回到开头，票号为什么拥有信用和经营经验，却仍然难以完成转型？沿着这些文书可以看到，李宏龄已经察觉危机，也提出了日常经营调整和合股办行的办法。困难在于，有改革意见，并不意味着能够形成共同决策；有业务创新，也不意味着组织和治理会随之改变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有限责任解释了公司化为什么有吸引力，但官款分配、官方保护和战争冲击，也影响着转型的实际条件。对我来说，这个案例最值得注意的，就是把经营主张变成能够执行、能够持续的制度安排，中间还有很多需要解决的问题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切页提示：收束内容后切到致谢页，本页不再单独说谢谢。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出处：概括依据：主文献第39—49页。</w:t>
      </w:r>
    </w:p>
    <w:p>
      <w:pPr>
        <w:pStyle w:val="Heading2"/>
      </w:pPr>
      <w:r>
        <w:t>第14页｜感谢聆听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14:50—15:00  ·  10秒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以上就是我的汇报，谢谢老师和同学们，敬请批评指正。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切页提示：停顿，向老师与同学致谢。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出处：结束页。</w:t>
      </w:r>
    </w:p>
    <w:p>
      <w:pPr>
        <w:pStyle w:val="Heading1"/>
        <w:pageBreakBefore/>
      </w:pPr>
      <w:r>
        <w:t>上台前的术语提醒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0"/>
        </w:rPr>
        <w:t>以下仅供备课，不计入15分钟正式发言。</w:t>
      </w:r>
    </w:p>
    <w:p>
      <w:pPr>
        <w:pStyle w:val="Heading2"/>
      </w:pPr>
      <w:r>
        <w:t>外欠与欠外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外欠是外部欠票号的钱，属于票号要收回的债权；欠外是票号欠外部客户的钱。朗读第4页时，两者之间停顿一下。</w:t>
      </w:r>
    </w:p>
    <w:p>
      <w:pPr>
        <w:pStyle w:val="Heading2"/>
      </w:pPr>
      <w:r>
        <w:t>汇水与平色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汇水可解释为办理异地汇兑形成的费用或差价。平色涉及银两衡量标准、成色等差异。不要把“平色”仅理解为银元与银两两种货币的区别。</w:t>
      </w:r>
    </w:p>
    <w:p>
      <w:pPr>
        <w:pStyle w:val="Heading2"/>
      </w:pPr>
      <w:r>
        <w:t>有限责任的边界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受到限制的是股东对公司债务的追加承担。公司仍以全部财产偿债；出资义务、个人担保等条件仍须考虑。</w:t>
      </w:r>
    </w:p>
    <w:p>
      <w:pPr>
        <w:pStyle w:val="Heading2"/>
      </w:pPr>
      <w:r>
        <w:t>联合办行与个别改组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1908年的金额是拟议目标；联合办行未成，与蔚丰厚后来单独改组，不是同一件事。</w:t>
      </w:r>
    </w:p>
    <w:p>
      <w:pPr>
        <w:pStyle w:val="Heading2"/>
      </w:pPr>
      <w:r>
        <w:t>二元对立与史料时序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“二元对立”在这里是对有关叙述的批评，并非梁启超正式命名的理论。书信早于出版，可证明当时已有改革思考，但不等于材料编选完全没有立场。</w:t>
      </w:r>
    </w:p>
    <w:p>
      <w:pPr>
        <w:pStyle w:val="Heading2"/>
      </w:pPr>
      <w:r>
        <w:t>从历史延伸到治理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“重融资、轻治理”是从历史案例延伸出的讨论，不要倒过来说清末票号已经存在当代上市公司那一整套制度。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0"/>
        </w:rPr>
        <w:t>若排练超时，可压缩第2页的经历介绍和第6页的筹资数字。第4页的债权债务关系、第9页的责任边界及第11—12页的制度解释，宜保留完整。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F6A68"/>
        <w:sz w:val="18"/>
      </w:rPr>
      <w:t xml:space="preserve">逐页讲稿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F6A68"/>
        <w:sz w:val="18"/>
      </w:rPr>
      <w:t>货币思想史展示 · 朱振坤 · 终版1027讲稿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Noto Sans CJK SC" w:hAnsi="Noto Sans CJK SC" w:eastAsia="Noto Sans CJK SC"/>
      <w:color w:val="28262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4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9901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4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9901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74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9901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李宏龄票号成败论：终版1027逐页讲稿</dc:title>
  <dc:subject>对应终版PPT14页的15分钟课堂讲述</dc:subject>
  <dc:creator>朱振坤</dc:creator>
  <cp:keywords>李宏龄,票号,有限责任,货币思想史,讲稿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