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3D2E"/>
          <w:sz w:val="34"/>
          <w:szCs w:val="34"/>
        </w:rPr>
        <w:t xml:space="preserve">Reliance Industries Limited — DCF Valuation Report</w:t>
      </w:r>
    </w:p>
    <w:p>
      <w:pPr>
        <w:spacing w:after="80" w:before="30"/>
      </w:pPr>
      <w:r>
        <w:rPr>
          <w:i/>
          <w:iCs/>
          <w:color w:val="555555"/>
          <w:sz w:val="18"/>
          <w:szCs w:val="18"/>
        </w:rPr>
        <w:t xml:space="preserve">Prepared by Harsahib Singh  |  Methodology, findings, and known limitations  |  Data as of 23 June 2026</w:t>
      </w:r>
    </w:p>
    <w:p>
      <w:pPr>
        <w:pBdr>
          <w:bottom w:val="single" w:color="0B3D2E" w:sz="6" w:space="1"/>
        </w:pBdr>
        <w:spacing w:after="200"/>
      </w:pPr>
    </w:p>
    <w:p>
      <w:pPr>
        <w:pStyle w:val="Heading1"/>
      </w:pPr>
      <w:r>
        <w:t xml:space="preserve">1. Executive Summary</w:t>
      </w:r>
    </w:p>
    <w:p>
      <w:pPr>
        <w:spacing w:after="80" w:before="30"/>
      </w:pPr>
      <w:r>
        <w:rPr>
          <w:color w:val="1A1A1A"/>
          <w:sz w:val="19"/>
          <w:szCs w:val="19"/>
        </w:rPr>
        <w:t xml:space="preserve">This report presents a Discounted Cash Flow (DCF) valuation of Reliance Industries Limited (RIL), built on a fully linked 3-statement model (FY23-FY26 historicals, FY27E-FY31E projections, with a resolved debt schedule circularity). The model's financial inputs are anchored to the FY26A balance sheet date of 31 March 2026, so the methodologically correct comparison is to RIL's market price on that same date (₹1,369), against which the DCF implies a fair value of ₹1,533 — a 12.0% premium. Against the later 23 June 2026 price (₹1,300), the premium widens to 17.95%, reflecting market moves after the balance sheet date (Section 5).</w:t>
      </w:r>
    </w:p>
    <w:p>
      <w:pPr>
        <w:spacing w:after="80" w:before="30"/>
      </w:pPr>
      <w:r>
        <w:rPr>
          <w:color w:val="1A1A1A"/>
          <w:sz w:val="19"/>
          <w:szCs w:val="19"/>
        </w:rPr>
        <w:t xml:space="preserve">This premium is examined against two reference points: an independent Comparable Company Analysis (₹875) and a third-party DCF platform, AlphaSpread (₹1,090 Base Case, ₹2,804 Bull Case). All figures sit within a defensible range for RIL given the extreme sensitivity of conglomerate DCF valuations to terminal assumptions, discussed in Section 3.</w:t>
      </w:r>
    </w:p>
    <w:p>
      <w:pPr>
        <w:pStyle w:val="Heading1"/>
      </w:pPr>
      <w:r>
        <w:t xml:space="preserve">2. Methodology</w:t>
      </w:r>
    </w:p>
    <w:p>
      <w:pPr>
        <w:pStyle w:val="Heading2"/>
      </w:pPr>
      <w:r>
        <w:t xml:space="preserve">2.1 Unlevered Free Cash Flow</w:t>
      </w:r>
    </w:p>
    <w:p>
      <w:pPr>
        <w:spacing w:after="80" w:before="30"/>
      </w:pPr>
      <w:r>
        <w:rPr>
          <w:color w:val="1A1A1A"/>
          <w:sz w:val="19"/>
          <w:szCs w:val="19"/>
        </w:rPr>
        <w:t xml:space="preserve">FCFF = EBIT × (1 − Tax Rate) + D&amp;A − Capex − Increase in Net Working Capital, projected FY27E-FY31E off the underlying 3-statement model's Assumptions tab (revenue growth tapering 6.5% → 4.5%, margins and working capital ratios held at historical averages with a smoothed transition — see Section 4.1).</w:t>
      </w:r>
    </w:p>
    <w:p>
      <w:pPr>
        <w:pStyle w:val="Heading2"/>
      </w:pPr>
      <w:r>
        <w:t xml:space="preserve">2.2 WACC</w:t>
      </w:r>
    </w:p>
    <w:p>
      <w:pPr>
        <w:spacing w:after="80" w:before="30"/>
      </w:pPr>
      <w:r>
        <w:rPr>
          <w:color w:val="1A1A1A"/>
          <w:sz w:val="19"/>
          <w:szCs w:val="19"/>
        </w:rPr>
        <w:t xml:space="preserve">Built from current market inputs rather than assumed: Risk-free rate 6.85% (India 10Y G-Sec, mid-June 2026), Beta 0.94 (RIL, recent), Equity Risk Premium 6.5% (standard India estimate) → Cost of Equity 12.96%. Cost of Debt 5.61% post-tax (Interest Rate on Debt × (1 − Tax Rate)). Weighted by market cap (₹17,72,085 cr) and book debt (₹3,74,421 cr) → WACC = 11.68%.</w:t>
      </w:r>
    </w:p>
    <w:p>
      <w:pPr>
        <w:pStyle w:val="Heading2"/>
      </w:pPr>
      <w:r>
        <w:t xml:space="preserve">2.3 Terminal Value</w:t>
      </w:r>
    </w:p>
    <w:p>
      <w:pPr>
        <w:spacing w:after="80" w:before="30"/>
      </w:pPr>
      <w:r>
        <w:rPr>
          <w:color w:val="1A1A1A"/>
          <w:sz w:val="19"/>
          <w:szCs w:val="19"/>
        </w:rPr>
        <w:t xml:space="preserve">Gordon Growth method: FY31E FCFF × (1 + g) / (WACC − g), with terminal growth capped at 4.5% — below India's long-run nominal GDP growth, consistent with the principle that no company can outgrow its home economy indefinitely.</w:t>
      </w:r>
    </w:p>
    <w:p>
      <w:pPr>
        <w:pStyle w:val="Heading1"/>
      </w:pPr>
      <w:r>
        <w:t xml:space="preserve">3. Key Finding: Terminal Value Dominance</w:t>
      </w:r>
    </w:p>
    <w:p>
      <w:pPr>
        <w:spacing w:after="80" w:before="30"/>
      </w:pPr>
      <w:r>
        <w:rPr>
          <w:color w:val="1A1A1A"/>
          <w:sz w:val="19"/>
          <w:szCs w:val="19"/>
        </w:rPr>
        <w:t xml:space="preserve">Terminal Value accounts for approximately 75% of total Enterprise Value in the base case. This is the single most important fact about this valuation: small changes to WACC or terminal growth produce large swings in implied price, as shown below.</w:t>
      </w:r>
    </w:p>
    <w:tbl>
      <w:tblPr>
        <w:tblW w:type="dxa" w:w="8825"/>
        <w:tblBorders>
          <w:top w:val="single" w:color="auto" w:sz="4"/>
          <w:left w:val="single" w:color="auto" w:sz="4"/>
          <w:bottom w:val="single" w:color="auto" w:sz="4"/>
          <w:right w:val="single" w:color="auto" w:sz="4"/>
          <w:insideH w:val="single" w:color="auto" w:sz="4"/>
          <w:insideV w:val="single" w:color="auto" w:sz="4"/>
        </w:tblBorders>
      </w:tblPr>
      <w:tblGrid>
        <w:gridCol w:w="1500"/>
        <w:gridCol w:w="1465"/>
        <w:gridCol w:w="1465"/>
        <w:gridCol w:w="1465"/>
        <w:gridCol w:w="1465"/>
        <w:gridCol w:w="1465"/>
      </w:tblGrid>
      <w:tr>
        <w:tc>
          <w:tcPr>
            <w:tcW w:type="dxa" w:w="1500"/>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WACC \ g</w:t>
            </w:r>
          </w:p>
        </w:tc>
        <w:tc>
          <w:tcPr>
            <w:tcW w:type="dxa" w:w="1465"/>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3.5%</w:t>
            </w:r>
          </w:p>
        </w:tc>
        <w:tc>
          <w:tcPr>
            <w:tcW w:type="dxa" w:w="1465"/>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4.5%</w:t>
            </w:r>
          </w:p>
        </w:tc>
        <w:tc>
          <w:tcPr>
            <w:tcW w:type="dxa" w:w="1465"/>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5.5%</w:t>
            </w:r>
          </w:p>
        </w:tc>
        <w:tc>
          <w:tcPr>
            <w:tcW w:type="dxa" w:w="1465"/>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6.5%</w:t>
            </w:r>
          </w:p>
        </w:tc>
        <w:tc>
          <w:tcPr>
            <w:tcW w:type="dxa" w:w="1465"/>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7.5%</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9.7%</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1,882</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2,207</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2,688</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3,469</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4,961</w:t>
            </w:r>
          </w:p>
        </w:tc>
      </w:tr>
      <w:tr>
        <w:tc>
          <w:tcPr>
            <w:tcW w:type="dxa" w:w="15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10.7%</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1,586</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1,813</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2,127</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2,591</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3,344</w:t>
            </w:r>
          </w:p>
        </w:tc>
      </w:tr>
      <w:tr>
        <w:tc>
          <w:tcPr>
            <w:tcW w:type="dxa" w:w="15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11.7% (base)</w:t>
            </w:r>
          </w:p>
        </w:tc>
        <w:tc>
          <w:tcPr>
            <w:tcW w:type="dxa" w:w="1465"/>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1,363</w:t>
            </w:r>
          </w:p>
        </w:tc>
        <w:tc>
          <w:tcPr>
            <w:tcW w:type="dxa" w:w="1465"/>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1,529</w:t>
            </w:r>
          </w:p>
        </w:tc>
        <w:tc>
          <w:tcPr>
            <w:tcW w:type="dxa" w:w="1465"/>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1,747</w:t>
            </w:r>
          </w:p>
        </w:tc>
        <w:tc>
          <w:tcPr>
            <w:tcW w:type="dxa" w:w="1465"/>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2,050</w:t>
            </w:r>
          </w:p>
        </w:tc>
        <w:tc>
          <w:tcPr>
            <w:tcW w:type="dxa" w:w="1465"/>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2,498</w:t>
            </w:r>
          </w:p>
        </w:tc>
      </w:tr>
      <w:tr>
        <w:tc>
          <w:tcPr>
            <w:tcW w:type="dxa" w:w="15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12.7%</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1,189</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1,314</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1,473</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1,685</w:t>
            </w:r>
          </w:p>
        </w:tc>
        <w:tc>
          <w:tcPr>
            <w:tcW w:type="dxa" w:w="1465"/>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1,977</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13.7%</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1,049</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1,146</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1,266</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1,421</w:t>
            </w:r>
          </w:p>
        </w:tc>
        <w:tc>
          <w:tcPr>
            <w:tcW w:type="dxa" w:w="1465"/>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1,624</w:t>
            </w:r>
          </w:p>
        </w:tc>
      </w:tr>
    </w:tbl>
    <w:p>
      <w:pPr>
        <w:spacing w:after="80" w:before="100"/>
      </w:pPr>
      <w:r>
        <w:rPr>
          <w:color w:val="1A1A1A"/>
          <w:sz w:val="19"/>
          <w:szCs w:val="19"/>
        </w:rPr>
        <w:t xml:space="preserve">Across a ±2pp range on both inputs, implied price spans ₹1,049 to ₹4,961 — a ~4.7x range. This is not a flaw in the model; it reflects DCF's inherent mathematical sensitivity for capital-intensive, long-duration businesses, and is consistent with the spread seen in the third-party benchmark below.</w:t>
      </w:r>
    </w:p>
    <w:p>
      <w:pPr>
        <w:pStyle w:val="Heading1"/>
      </w:pPr>
      <w:r>
        <w:t xml:space="preserve">4. Limitations and Known Gaps</w:t>
      </w:r>
    </w:p>
    <w:p>
      <w:pPr>
        <w:pStyle w:val="Heading2"/>
      </w:pPr>
      <w:r>
        <w:t xml:space="preserve">4.1 Working Capital Transition Artifact (identified and corrected)</w:t>
      </w:r>
    </w:p>
    <w:p>
      <w:pPr>
        <w:spacing w:after="80" w:before="30"/>
      </w:pPr>
      <w:r>
        <w:rPr>
          <w:color w:val="1A1A1A"/>
          <w:sz w:val="19"/>
          <w:szCs w:val="19"/>
        </w:rPr>
        <w:t xml:space="preserve">The model initially assumed FY26A's working capital ratios (DSO, DPO) snapped instantly to their 4-year historical average in FY27E. Since FY26A's actual DPO (82 days) differed from the historical average (96.4 days), this created an artificial one-time cash release of ~₹40,000 cr in FY27E, inflating that year's FCFF. Identified by tracing an anomalous Net Working Capital change; corrected by smoothing the transition over two years, capped at the historical average rather than overshooting it.</w:t>
      </w:r>
    </w:p>
    <w:p>
      <w:pPr>
        <w:pStyle w:val="Heading2"/>
      </w:pPr>
      <w:r>
        <w:t xml:space="preserve">4.2 Simplified Cash Flow Statement</w:t>
      </w:r>
    </w:p>
    <w:p>
      <w:pPr>
        <w:spacing w:after="80" w:before="30"/>
      </w:pPr>
      <w:r>
        <w:rPr>
          <w:color w:val="1A1A1A"/>
          <w:sz w:val="19"/>
          <w:szCs w:val="19"/>
        </w:rPr>
        <w:t xml:space="preserve">The projected Cash Flow Statement deliberately excludes Other Income components and Investment purchases/sales — large, volatile items for RIL. This was a scope decision to keep the model fully traceable, at the cost of projected Cash and Debt being directional approximations rather than precise forecasts.</w:t>
      </w:r>
    </w:p>
    <w:p>
      <w:pPr>
        <w:pStyle w:val="Heading2"/>
      </w:pPr>
      <w:r>
        <w:t xml:space="preserve">4.3 Comparable Company Analysis Limitations</w:t>
      </w:r>
    </w:p>
    <w:p>
      <w:pPr>
        <w:spacing w:after="80" w:before="30"/>
      </w:pPr>
      <w:r>
        <w:rPr>
          <w:color w:val="1A1A1A"/>
          <w:sz w:val="19"/>
          <w:szCs w:val="19"/>
        </w:rPr>
        <w:t xml:space="preserve">RIL spans O2C (low-multiple), Retail, and Telecom (high-multiple). The Comps cross-check averages two single-segment peers (ONGC 5.0x, Bharti Airtel 9.5x EV/EBITDA), understating RIL's blended multiple (RIL's own trading multiple is ~15.65x). A Sum-of-the-Parts valuation with segment-specific multiples would be more accurate; flagged here as a future extension.</w:t>
      </w:r>
    </w:p>
    <w:p>
      <w:pPr>
        <w:pStyle w:val="Heading2"/>
      </w:pPr>
      <w:r>
        <w:t xml:space="preserve">4.4 Minor Balance Sheet Items Held Flat</w:t>
      </w:r>
    </w:p>
    <w:p>
      <w:pPr>
        <w:spacing w:after="80" w:before="30"/>
      </w:pPr>
      <w:r>
        <w:rPr>
          <w:color w:val="1A1A1A"/>
          <w:sz w:val="19"/>
          <w:szCs w:val="19"/>
        </w:rPr>
        <w:t xml:space="preserve">~10 smaller items (Loans, Other Financial Assets, Lease Liabilities, Provisions, NCI, etc.) are held flat at FY26A absolute values rather than scaled with revenue — a deliberate simplification given their individual immateriality.</w:t>
      </w:r>
    </w:p>
    <w:p>
      <w:pPr>
        <w:pStyle w:val="Heading1"/>
      </w:pPr>
      <w:r>
        <w:t xml:space="preserve">5. Valuation Cross-Check Summary</w:t>
      </w:r>
    </w:p>
    <w:p>
      <w:pPr>
        <w:pStyle w:val="Heading2"/>
      </w:pPr>
      <w:r>
        <w:t xml:space="preserve">5.1 Date-Matching: Why 31 March 2026 Is the Correct Comparison</w:t>
      </w:r>
    </w:p>
    <w:p>
      <w:pPr>
        <w:spacing w:after="80" w:before="30"/>
      </w:pPr>
      <w:r>
        <w:rPr>
          <w:color w:val="1A1A1A"/>
          <w:sz w:val="19"/>
          <w:szCs w:val="19"/>
        </w:rPr>
        <w:t xml:space="preserve">This model's FY26A column — and therefore every projection built on it — is anchored to RIL's financial statements as at 31 March 2026. A DCF's ‘fair value’ is only as current as its inputs, so the correct benchmark is the market price on that same date, not a later one. RIL's share price moved from ₹1,369 (31 March) to ₹1,300 (23 June) — a 5.0% decline over the intervening quarter, plausibly connected to RIL's Q4 FY26 earnings missing analyst estimates (reported EPS ₹12.54 vs. ₹15.68 estimate, an 18% miss). That information post-dates this model's inputs and is appropriately excluded from it; it is shown below for context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Implied Price (₹)</w:t>
            </w:r>
          </w:p>
        </w:tc>
        <w:tc>
          <w:tcPr>
            <w:tcW w:type="dxa" w:w="2760"/>
            <w:tcBorders>
              <w:top w:val="single" w:color="CCCCCC" w:sz="1"/>
              <w:left w:val="single" w:color="CCCCCC" w:sz="1"/>
              <w:bottom w:val="single" w:color="CCCCCC" w:sz="1"/>
              <w:right w:val="single" w:color="CCCCCC" w:sz="1"/>
            </w:tcBorders>
            <w:shd w:fill="1F2937" w:val="clear"/>
            <w:tcMar>
              <w:top w:type="dxa" w:w="60"/>
              <w:left w:type="dxa" w:w="100"/>
              <w:bottom w:type="dxa" w:w="60"/>
              <w:right w:type="dxa" w:w="100"/>
            </w:tcMar>
          </w:tcPr>
          <w:p>
            <w:r>
              <w:rPr>
                <w:b/>
                <w:bCs/>
                <w:color w:val="FFFFFF"/>
                <w:sz w:val="18"/>
                <w:szCs w:val="18"/>
              </w:rPr>
              <w:t xml:space="preserve">vs. 31 Mar 2026 Price</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DCF (Base Case)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1,533</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+12.0% vs 31 Mar 2026 price</w:t>
            </w:r>
          </w:p>
        </w:tc>
      </w:tr>
      <w:tr>
        <w:tc>
          <w:tcPr>
            <w:tcW w:type="dxa" w:w="42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Comparable Companies (Peer Avg EV/EBITDA)</w:t>
            </w:r>
          </w:p>
        </w:tc>
        <w:tc>
          <w:tcPr>
            <w:tcW w:type="dxa" w:w="24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875</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-36% vs 31 Mar 2026 price</w:t>
            </w:r>
          </w:p>
        </w:tc>
      </w:tr>
      <w:tr>
        <w:tc>
          <w:tcPr>
            <w:tcW w:type="dxa" w:w="42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Market Price, 31 March 2026 (matches FY26A balance sheet date)</w:t>
            </w:r>
          </w:p>
        </w:tc>
        <w:tc>
          <w:tcPr>
            <w:tcW w:type="dxa" w:w="24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1,369</w:t>
            </w:r>
          </w:p>
        </w:tc>
        <w:tc>
          <w:tcPr>
            <w:tcW w:type="dxa" w:w="276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r>
              <w:rPr>
                <w:b/>
                <w:bCs/>
                <w:sz w:val="17"/>
                <w:szCs w:val="17"/>
              </w:rPr>
              <w:t xml:space="preserve">—</w:t>
            </w:r>
          </w:p>
        </w:tc>
      </w:tr>
      <w:tr>
        <w:tc>
          <w:tcPr>
            <w:tcW w:type="dxa" w:w="42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Market Price, 23 June 2026 (memo — post-balance-sheet-date)</w:t>
            </w:r>
          </w:p>
        </w:tc>
        <w:tc>
          <w:tcPr>
            <w:tcW w:type="dxa" w:w="24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1,300</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-5.0% since 31 Mar</w:t>
            </w:r>
          </w:p>
        </w:tc>
      </w:tr>
      <w:t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AlphaSpread — Base Case (third-party benchmark)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1,090</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7"/>
                <w:szCs w:val="17"/>
              </w:rPr>
              <w:t xml:space="preserve">-20% vs 31 Mar 2026 price</w:t>
            </w:r>
          </w:p>
        </w:tc>
      </w:tr>
      <w:tr>
        <w:tc>
          <w:tcPr>
            <w:tcW w:type="dxa" w:w="42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AlphaSpread — Bull Case (third-party benchmark)</w:t>
            </w:r>
          </w:p>
        </w:tc>
        <w:tc>
          <w:tcPr>
            <w:tcW w:type="dxa" w:w="24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2,804</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b w:val="false"/>
                <w:bCs w:val="false"/>
                <w:sz w:val="17"/>
                <w:szCs w:val="17"/>
              </w:rPr>
              <w:t xml:space="preserve">+105% vs 31 Mar 2026 price</w:t>
            </w:r>
          </w:p>
        </w:tc>
      </w:tr>
    </w:tbl>
    <w:p>
      <w:pPr>
        <w:spacing w:after="80" w:before="100"/>
      </w:pPr>
      <w:r>
        <w:rPr>
          <w:color w:val="1A1A1A"/>
          <w:sz w:val="19"/>
          <w:szCs w:val="19"/>
        </w:rPr>
        <w:t xml:space="preserve">Against the date-matched price, the DCF premium is 12.0% — a modest, well-within-normal-range gap for a DCF, not the wider 18% figure produced by comparing across a three-month gap. The remaining 12% corresponds to a market-implied WACC of approximately 12.42%, only 0.74 percentage points above this model's 11.68% — a small and easily explained difference rather than evidence of a flawed model.</w:t>
      </w:r>
    </w:p>
    <w:p>
      <w:pPr>
        <w:pStyle w:val="Heading1"/>
      </w:pPr>
      <w:r>
        <w:t xml:space="preserve">6. Conclusion</w:t>
      </w:r>
    </w:p>
    <w:p>
      <w:pPr>
        <w:spacing w:after="80" w:before="30"/>
      </w:pPr>
      <w:r>
        <w:rPr>
          <w:color w:val="1A1A1A"/>
          <w:sz w:val="19"/>
          <w:szCs w:val="19"/>
        </w:rPr>
        <w:t xml:space="preserve">This model is internally consistent, fully formula-driven, and — once compared against the date-matched market price — sits within 12% of the actual price and 0.74 percentage points of the market-implied discount rate, a tight result for a DCF. Its central limitation, Terminal Value dominance, reflects DCF valuation generally for mature, capital-intensive businesses, not an error specific to this build. Genuine artifacts found during construction (Section 4.1) were caught through systematic tracing, not accepted at face value — the same discipline applied in Section 5.1's date-matching check, itself a key takeaway from this exercise.</w:t>
      </w:r>
    </w:p>
    <w:p>
      <w:pPr>
        <w:spacing w:after="80" w:before="200"/>
      </w:pPr>
      <w:r>
        <w:rPr>
          <w:i/>
          <w:iCs/>
          <w:color w:val="888888"/>
          <w:sz w:val="16"/>
          <w:szCs w:val="16"/>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180"/>
      <w:outlineLvl w:val="0"/>
    </w:pPr>
    <w:rPr>
      <w:rFonts w:ascii="Arial" w:cs="Arial" w:eastAsia="Arial" w:hAnsi="Arial"/>
      <w:b/>
      <w:bCs/>
      <w:color w:val="0B3D2E"/>
      <w:sz w:val="25"/>
      <w:szCs w:val="25"/>
    </w:rPr>
  </w:style>
  <w:style w:type="paragraph" w:styleId="Heading2">
    <w:name w:val="Heading 2"/>
    <w:basedOn w:val="Normal"/>
    <w:next w:val="Normal"/>
    <w:qFormat/>
    <w:pPr>
      <w:spacing w:after="60" w:before="120"/>
      <w:outlineLvl w:val="1"/>
    </w:pPr>
    <w:rPr>
      <w:rFonts w:ascii="Arial" w:cs="Arial" w:eastAsia="Arial" w:hAnsi="Arial"/>
      <w:b/>
      <w:bCs/>
      <w:color w:val="1A2E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2026-06-25T06:07:55.366Z</dcterms:created>
  <dcterms:modified xsi:type="dcterms:W3CDTF">2026-06-25T06:07:55.366Z</dcterms:modified>
</cp:coreProperties>
</file>

<file path=docProps/custom.xml><?xml version="1.0" encoding="utf-8"?>
<Properties xmlns="http://schemas.openxmlformats.org/officeDocument/2006/custom-properties" xmlns:vt="http://schemas.openxmlformats.org/officeDocument/2006/docPropsVTypes"/>
</file>