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120" w:line="275" w:lineRule="auto"/>
        <w:jc w:val="both"/>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Market Intelligence Research Brief</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240" w:line="275" w:lineRule="auto"/>
        <w:jc w:val="both"/>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Student Name:</w:t>
      </w:r>
      <w:r w:rsidDel="00000000" w:rsidR="00000000" w:rsidRPr="00000000">
        <w:rPr>
          <w:rFonts w:ascii="Google Sans" w:cs="Google Sans" w:eastAsia="Google Sans" w:hAnsi="Google Sans"/>
          <w:color w:val="1f1f1f"/>
          <w:rtl w:val="0"/>
        </w:rPr>
        <w:t xml:space="preserve"> Harsh Verma</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240" w:line="275" w:lineRule="auto"/>
        <w:jc w:val="both"/>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Date:</w:t>
      </w:r>
      <w:r w:rsidDel="00000000" w:rsidR="00000000" w:rsidRPr="00000000">
        <w:rPr>
          <w:rFonts w:ascii="Google Sans" w:cs="Google Sans" w:eastAsia="Google Sans" w:hAnsi="Google Sans"/>
          <w:color w:val="1f1f1f"/>
          <w:rtl w:val="0"/>
        </w:rPr>
        <w:t xml:space="preserve"> 25 October 2026</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240" w:line="275" w:lineRule="auto"/>
        <w:jc w:val="both"/>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Topic/Company:</w:t>
      </w:r>
      <w:r w:rsidDel="00000000" w:rsidR="00000000" w:rsidRPr="00000000">
        <w:rPr>
          <w:rFonts w:ascii="Google Sans" w:cs="Google Sans" w:eastAsia="Google Sans" w:hAnsi="Google Sans"/>
          <w:color w:val="1f1f1f"/>
          <w:rtl w:val="0"/>
        </w:rPr>
        <w:t xml:space="preserve"> India’s ₹30,000–₹50,000 Smartphone Segment: New Brand Entry Assessment</w:t>
      </w:r>
    </w:p>
    <w:p w:rsidR="00000000" w:rsidDel="00000000" w:rsidP="00000000" w:rsidRDefault="00000000" w:rsidRPr="00000000" w14:paraId="00000005">
      <w:pPr>
        <w:pStyle w:val="Heading2"/>
        <w:spacing w:after="120" w:before="120" w:line="275" w:lineRule="auto"/>
        <w:jc w:val="both"/>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1. Research Objective</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240" w:line="275" w:lineRule="auto"/>
        <w:jc w:val="both"/>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Objective:</w:t>
      </w:r>
      <w:r w:rsidDel="00000000" w:rsidR="00000000" w:rsidRPr="00000000">
        <w:rPr>
          <w:rFonts w:ascii="Google Sans" w:cs="Google Sans" w:eastAsia="Google Sans" w:hAnsi="Google Sans"/>
          <w:color w:val="1f1f1f"/>
          <w:rtl w:val="0"/>
        </w:rPr>
        <w:t xml:space="preserve"> Evaluate whether a new smartphone brand should enter India’s ₹30,000–₹50,000 segment by assessing market demand, competitive conditions, product expectations, cost pressures, and entry barriers. The analysis is intended to help leadership decide whether to proceed now, delay entry, or conduct a smaller validation exercise before committing substantial resources.</w:t>
      </w:r>
    </w:p>
    <w:p w:rsidR="00000000" w:rsidDel="00000000" w:rsidP="00000000" w:rsidRDefault="00000000" w:rsidRPr="00000000" w14:paraId="00000007">
      <w:pPr>
        <w:pStyle w:val="Heading2"/>
        <w:spacing w:after="120" w:before="120" w:line="275" w:lineRule="auto"/>
        <w:jc w:val="both"/>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2. Scope of Research</w:t>
      </w:r>
    </w:p>
    <w:p w:rsidR="00000000" w:rsidDel="00000000" w:rsidP="00000000" w:rsidRDefault="00000000" w:rsidRPr="00000000" w14:paraId="00000008">
      <w:pPr>
        <w:spacing w:line="274.99199999999996" w:lineRule="auto"/>
        <w:ind w:left="0" w:firstLine="0"/>
        <w:jc w:val="both"/>
        <w:rPr/>
      </w:pPr>
      <w:r w:rsidDel="00000000" w:rsidR="00000000" w:rsidRPr="00000000">
        <w:rPr>
          <w:rFonts w:ascii="Google Sans" w:cs="Google Sans" w:eastAsia="Google Sans" w:hAnsi="Google Sans"/>
          <w:b w:val="1"/>
          <w:bCs w:val="1"/>
          <w:color w:val="1f1f1f"/>
          <w:rtl w:val="0"/>
        </w:rPr>
        <w:t xml:space="preserve">Core scope and focus areas:</w:t>
      </w:r>
      <w:r w:rsidDel="00000000" w:rsidR="00000000" w:rsidRPr="00000000">
        <w:rPr>
          <w:rFonts w:ascii="Google Sans" w:cs="Google Sans" w:eastAsia="Google Sans" w:hAnsi="Google Sans"/>
          <w:color w:val="1f1f1f"/>
          <w:rtl w:val="0"/>
        </w:rPr>
        <w:t xml:space="preserve"> The assessment targets the ₹30,000–₹50,000 smartphone price band in India, evaluating key brand rivals, technical offerings, broader market trends, competitive pressures, and relevant regulatory or financial hurdles.</w:t>
      </w:r>
      <w:r w:rsidDel="00000000" w:rsidR="00000000" w:rsidRPr="00000000">
        <w:rPr>
          <w:rtl w:val="0"/>
        </w:rPr>
      </w:r>
    </w:p>
    <w:p w:rsidR="00000000" w:rsidDel="00000000" w:rsidP="00000000" w:rsidRDefault="00000000" w:rsidRPr="00000000" w14:paraId="00000009">
      <w:pPr>
        <w:spacing w:after="240" w:before="240" w:lineRule="auto"/>
        <w:rPr/>
      </w:pPr>
      <w:r w:rsidDel="00000000" w:rsidR="00000000" w:rsidRPr="00000000">
        <w:rPr>
          <w:rFonts w:ascii="Google Sans" w:cs="Google Sans" w:eastAsia="Google Sans" w:hAnsi="Google Sans"/>
          <w:b w:val="1"/>
          <w:bCs w:val="1"/>
          <w:color w:val="1f1f1f"/>
          <w:rtl w:val="0"/>
        </w:rPr>
        <w:t xml:space="preserve">Out-of-scope elements:</w:t>
      </w:r>
      <w:r w:rsidDel="00000000" w:rsidR="00000000" w:rsidRPr="00000000">
        <w:rPr>
          <w:rFonts w:ascii="Google Sans" w:cs="Google Sans" w:eastAsia="Google Sans" w:hAnsi="Google Sans"/>
          <w:color w:val="1f1f1f"/>
          <w:rtl w:val="0"/>
        </w:rPr>
        <w:t xml:space="preserve"> This brief omits internal sales figures, trade partner discussions, retail distributor margins, model unit economics, confidential supply agreements, and primary consumer survey initiatives.</w:t>
      </w:r>
      <w:r w:rsidDel="00000000" w:rsidR="00000000" w:rsidRPr="00000000">
        <w:rPr>
          <w:rtl w:val="0"/>
        </w:rPr>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Markets or industries covered:</w:t>
      </w:r>
      <w:r w:rsidDel="00000000" w:rsidR="00000000" w:rsidRPr="00000000">
        <w:rPr>
          <w:rFonts w:ascii="Google Sans" w:cs="Google Sans" w:eastAsia="Google Sans" w:hAnsi="Google Sans"/>
          <w:color w:val="1f1f1f"/>
          <w:rtl w:val="0"/>
        </w:rPr>
        <w:t xml:space="preserve"> The research covers India’s smartphone industry, with a specific focus on smartphones priced between ₹30,000 and ₹50,000. It considers the wider smartphone market only where broader shipment trends, component costs, or consumer behavior affect the target segment.</w:t>
      </w:r>
      <w:r w:rsidDel="00000000" w:rsidR="00000000" w:rsidRPr="00000000">
        <w:rPr>
          <w:rtl w:val="0"/>
        </w:rPr>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Competitor types included:</w:t>
      </w:r>
      <w:r w:rsidDel="00000000" w:rsidR="00000000" w:rsidRPr="00000000">
        <w:rPr>
          <w:rFonts w:ascii="Google Sans" w:cs="Google Sans" w:eastAsia="Google Sans" w:hAnsi="Google Sans"/>
          <w:color w:val="1f1f1f"/>
          <w:rtl w:val="0"/>
        </w:rPr>
        <w:t xml:space="preserve"> The analysis includes established global smartphone brands, value-focused challengers, premium brands, and brands with strong offline or online channel presence. Key reference brands include Samsung, Apple, Vivo, OPPO, OnePlus, Xiaomi, Motorola, iQOO, Google, and Nothing.</w:t>
      </w:r>
      <w:r w:rsidDel="00000000" w:rsidR="00000000" w:rsidRPr="00000000">
        <w:rPr>
          <w:rtl w:val="0"/>
        </w:rPr>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Timeframe considered:</w:t>
      </w:r>
      <w:r w:rsidDel="00000000" w:rsidR="00000000" w:rsidRPr="00000000">
        <w:rPr>
          <w:rFonts w:ascii="Google Sans" w:cs="Google Sans" w:eastAsia="Google Sans" w:hAnsi="Google Sans"/>
          <w:color w:val="1f1f1f"/>
          <w:rtl w:val="0"/>
        </w:rPr>
        <w:t xml:space="preserve"> The external market review focuses mainly on developments between 2024 and 2026. The smartphone dataset includes listings from different device generations and should therefore be treated as a view of available products and specifications, rather than a precise snapshot of one specific period.</w:t>
      </w:r>
      <w:r w:rsidDel="00000000" w:rsidR="00000000" w:rsidRPr="00000000">
        <w:rPr>
          <w:rtl w:val="0"/>
        </w:rPr>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pacing w:after="120"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Key constraints (e.g., limited research hours):</w:t>
      </w:r>
      <w:r w:rsidDel="00000000" w:rsidR="00000000" w:rsidRPr="00000000">
        <w:rPr>
          <w:rFonts w:ascii="Google Sans" w:cs="Google Sans" w:eastAsia="Google Sans" w:hAnsi="Google Sans"/>
          <w:color w:val="1f1f1f"/>
          <w:rtl w:val="0"/>
        </w:rPr>
        <w:t xml:space="preserve"> The analysis relies on public market research, Quick Research outputs, and the uploaded smartphone listing dataset. It does not include proprietary sales data, retailer interviews, consumer surveys conducted specifically for this project, detailed component contracts, brand profitability figures, or channel-level margins.</w:t>
      </w:r>
      <w:r w:rsidDel="00000000" w:rsidR="00000000" w:rsidRPr="00000000">
        <w:rPr>
          <w:rtl w:val="0"/>
        </w:rPr>
      </w:r>
    </w:p>
    <w:p w:rsidR="00000000" w:rsidDel="00000000" w:rsidP="00000000" w:rsidRDefault="00000000" w:rsidRPr="00000000" w14:paraId="0000000E">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2"/>
        <w:spacing w:after="120" w:before="120" w:line="275" w:lineRule="auto"/>
        <w:jc w:val="both"/>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Research Approach</w:t>
      </w:r>
    </w:p>
    <w:p w:rsidR="00000000" w:rsidDel="00000000" w:rsidP="00000000" w:rsidRDefault="00000000" w:rsidRPr="00000000" w14:paraId="00000010">
      <w:pPr>
        <w:numPr>
          <w:ilvl w:val="0"/>
          <w:numId w:val="2"/>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Types of questions asked:</w:t>
      </w:r>
      <w:r w:rsidDel="00000000" w:rsidR="00000000" w:rsidRPr="00000000">
        <w:rPr>
          <w:rFonts w:ascii="Google Sans" w:cs="Google Sans" w:eastAsia="Google Sans" w:hAnsi="Google Sans"/>
          <w:color w:val="1f1f1f"/>
          <w:rtl w:val="0"/>
        </w:rPr>
        <w:t xml:space="preserve"> The research examined whether the ₹30,000–₹50,000 segment is expanding in a commercially attractive way, which brands dominate the segment, what features customers now expect, what could genuinely differentiate a new entrant, and how component inflation, regulation, and market contraction could affect viability.</w:t>
      </w:r>
      <w:r w:rsidDel="00000000" w:rsidR="00000000" w:rsidRPr="00000000">
        <w:rPr>
          <w:rtl w:val="0"/>
        </w:rPr>
      </w:r>
    </w:p>
    <w:p w:rsidR="00000000" w:rsidDel="00000000" w:rsidP="00000000" w:rsidRDefault="00000000" w:rsidRPr="00000000" w14:paraId="00000011">
      <w:pPr>
        <w:numPr>
          <w:ilvl w:val="0"/>
          <w:numId w:val="2"/>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How research effort was prioritized:</w:t>
      </w:r>
      <w:r w:rsidDel="00000000" w:rsidR="00000000" w:rsidRPr="00000000">
        <w:rPr>
          <w:rFonts w:ascii="Google Sans" w:cs="Google Sans" w:eastAsia="Google Sans" w:hAnsi="Google Sans"/>
          <w:color w:val="1f1f1f"/>
          <w:rtl w:val="0"/>
        </w:rPr>
        <w:t xml:space="preserve"> Research was prioritized around the entry decision. The first focus was overall demand and segment growth, followed by competitive concentration, price and component-cost pressure, product expectations, and practical barriers such as certification, import duties, distribution, and brand trust.</w:t>
      </w:r>
      <w:r w:rsidDel="00000000" w:rsidR="00000000" w:rsidRPr="00000000">
        <w:rPr>
          <w:rtl w:val="0"/>
        </w:rPr>
      </w:r>
    </w:p>
    <w:p w:rsidR="00000000" w:rsidDel="00000000" w:rsidP="00000000" w:rsidRDefault="00000000" w:rsidRPr="00000000" w14:paraId="00000012">
      <w:pPr>
        <w:numPr>
          <w:ilvl w:val="0"/>
          <w:numId w:val="2"/>
        </w:numPr>
        <w:pBdr>
          <w:top w:space="0" w:sz="0" w:val="nil"/>
          <w:left w:space="0" w:sz="0" w:val="nil"/>
          <w:bottom w:space="0" w:sz="0" w:val="nil"/>
          <w:right w:space="0" w:sz="0" w:val="nil"/>
          <w:between w:space="0" w:sz="0" w:val="nil"/>
        </w:pBdr>
        <w:spacing w:after="120"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Tools used within Amazon Quick Suite:</w:t>
      </w:r>
      <w:r w:rsidDel="00000000" w:rsidR="00000000" w:rsidRPr="00000000">
        <w:rPr>
          <w:rFonts w:ascii="Google Sans" w:cs="Google Sans" w:eastAsia="Google Sans" w:hAnsi="Google Sans"/>
          <w:color w:val="1f1f1f"/>
          <w:rtl w:val="0"/>
        </w:rPr>
        <w:t xml:space="preserve"> Amazon Quick Suite was used to review the uploaded smartphone dataset, create a product-density visual by price band, and conduct Quick Research on India’s smartphone market. The Quick Research output was also used to generate a custom summary, review sources, identify risks, and download the supporting report.</w:t>
      </w:r>
      <w:r w:rsidDel="00000000" w:rsidR="00000000" w:rsidRPr="00000000">
        <w:rPr>
          <w:rtl w:val="0"/>
        </w:rPr>
      </w:r>
    </w:p>
    <w:p w:rsidR="00000000" w:rsidDel="00000000" w:rsidP="00000000" w:rsidRDefault="00000000" w:rsidRPr="00000000" w14:paraId="00000013">
      <w:pPr>
        <w:pStyle w:val="Heading2"/>
        <w:spacing w:after="120" w:before="120" w:line="275" w:lineRule="auto"/>
        <w:jc w:val="both"/>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4. Key Market Insights</w:t>
      </w:r>
    </w:p>
    <w:p w:rsidR="00000000" w:rsidDel="00000000" w:rsidP="00000000" w:rsidRDefault="00000000" w:rsidRPr="00000000" w14:paraId="00000014">
      <w:pPr>
        <w:pStyle w:val="Heading3"/>
        <w:spacing w:after="120" w:before="0" w:line="275" w:lineRule="auto"/>
        <w:jc w:val="both"/>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Insight 1</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Insight Summary:</w:t>
      </w:r>
      <w:r w:rsidDel="00000000" w:rsidR="00000000" w:rsidRPr="00000000">
        <w:rPr>
          <w:rFonts w:ascii="Google Sans" w:cs="Google Sans" w:eastAsia="Google Sans" w:hAnsi="Google Sans"/>
          <w:color w:val="1f1f1f"/>
          <w:rtl w:val="0"/>
        </w:rPr>
        <w:t xml:space="preserve"> The ₹30,000-and-above smartphone segment has gained importance, but the wider market outlook is weak. A new entrant would be trying to win share in a market with limited room for broad-based growth.</w:t>
      </w:r>
      <w:r w:rsidDel="00000000" w:rsidR="00000000" w:rsidRPr="00000000">
        <w:rPr>
          <w:rtl w:val="0"/>
        </w:rPr>
      </w:r>
    </w:p>
    <w:p w:rsidR="00000000" w:rsidDel="00000000" w:rsidP="00000000" w:rsidRDefault="00000000" w:rsidRPr="00000000" w14:paraId="00000016">
      <w:pPr>
        <w:numPr>
          <w:ilvl w:val="0"/>
          <w:numId w:val="3"/>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Supporting Evidence or Signals:</w:t>
      </w:r>
      <w:r w:rsidDel="00000000" w:rsidR="00000000" w:rsidRPr="00000000">
        <w:rPr>
          <w:rFonts w:ascii="Google Sans" w:cs="Google Sans" w:eastAsia="Google Sans" w:hAnsi="Google Sans"/>
          <w:color w:val="1f1f1f"/>
          <w:rtl w:val="0"/>
        </w:rPr>
        <w:t xml:space="preserve"> Counterpoint Research reported that smartphones priced above ₹30,000 grew 11 percent by volume in 2025 and reached 22 percent of total shipments. However, IDC revised its 2026 India smartphone forecast from 4 percent growth to a 12–15 percent contraction, while Counterpoint projected a 13 percent full-year market decline. Reported Q3 2026 shipments fell by roughly 20–26 percent year on year to a decade low.</w:t>
      </w:r>
      <w:r w:rsidDel="00000000" w:rsidR="00000000" w:rsidRPr="00000000">
        <w:rPr>
          <w:rtl w:val="0"/>
        </w:rPr>
      </w:r>
    </w:p>
    <w:p w:rsidR="00000000" w:rsidDel="00000000" w:rsidP="00000000" w:rsidRDefault="00000000" w:rsidRPr="00000000" w14:paraId="00000017">
      <w:pPr>
        <w:numPr>
          <w:ilvl w:val="0"/>
          <w:numId w:val="3"/>
        </w:numPr>
        <w:pBdr>
          <w:top w:space="0" w:sz="0" w:val="nil"/>
          <w:left w:space="0" w:sz="0" w:val="nil"/>
          <w:bottom w:space="0" w:sz="0" w:val="nil"/>
          <w:right w:space="0" w:sz="0" w:val="nil"/>
          <w:between w:space="0" w:sz="0" w:val="nil"/>
        </w:pBdr>
        <w:spacing w:after="120"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Why This Insight Matters:</w:t>
      </w:r>
      <w:r w:rsidDel="00000000" w:rsidR="00000000" w:rsidRPr="00000000">
        <w:rPr>
          <w:rFonts w:ascii="Google Sans" w:cs="Google Sans" w:eastAsia="Google Sans" w:hAnsi="Google Sans"/>
          <w:color w:val="1f1f1f"/>
          <w:rtl w:val="0"/>
        </w:rPr>
        <w:t xml:space="preserve"> A larger premium share does not automatically mean a larger or easier market to enter. If the total market is shrinking, a new brand must take customers from established competitors rather than depend on organic demand growth.</w:t>
      </w:r>
      <w:r w:rsidDel="00000000" w:rsidR="00000000" w:rsidRPr="00000000">
        <w:rPr>
          <w:rtl w:val="0"/>
        </w:rPr>
      </w:r>
    </w:p>
    <w:p w:rsidR="00000000" w:rsidDel="00000000" w:rsidP="00000000" w:rsidRDefault="00000000" w:rsidRPr="00000000" w14:paraId="00000018">
      <w:pPr>
        <w:pStyle w:val="Heading3"/>
        <w:spacing w:after="120" w:line="275" w:lineRule="auto"/>
        <w:jc w:val="both"/>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Insight 2</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Insight Summary:</w:t>
      </w:r>
      <w:r w:rsidDel="00000000" w:rsidR="00000000" w:rsidRPr="00000000">
        <w:rPr>
          <w:rFonts w:ascii="Google Sans" w:cs="Google Sans" w:eastAsia="Google Sans" w:hAnsi="Google Sans"/>
          <w:color w:val="1f1f1f"/>
          <w:rtl w:val="0"/>
        </w:rPr>
        <w:t xml:space="preserve"> Some movement into higher price bands appears to be caused by rising device costs rather than by customers voluntarily upgrading to more expensive phones.</w:t>
      </w:r>
      <w:r w:rsidDel="00000000" w:rsidR="00000000" w:rsidRPr="00000000">
        <w:rPr>
          <w:rtl w:val="0"/>
        </w:rPr>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Supporting Evidence or Signals:</w:t>
      </w:r>
      <w:r w:rsidDel="00000000" w:rsidR="00000000" w:rsidRPr="00000000">
        <w:rPr>
          <w:rFonts w:ascii="Google Sans" w:cs="Google Sans" w:eastAsia="Google Sans" w:hAnsi="Google Sans"/>
          <w:color w:val="1f1f1f"/>
          <w:rtl w:val="0"/>
        </w:rPr>
        <w:t xml:space="preserve"> IDC reported that smartphones priced below $100 declined 59 percent year on year as memory costs rose. Counterpoint reported that sub-₹20,000 shipments fell 47 percent in Q3 2026, with higher model prices pushing devices into higher brackets. Counterpoint also reported memory-price increases of 80–90 percent in Q1 2026 versus Q4 2025, while TechInsights indicated that memory costs had nearly tripled since 2025. </w:t>
      </w:r>
      <w:r w:rsidDel="00000000" w:rsidR="00000000" w:rsidRPr="00000000">
        <w:rPr>
          <w:rtl w:val="0"/>
        </w:rPr>
      </w:r>
    </w:p>
    <w:p w:rsidR="00000000" w:rsidDel="00000000" w:rsidP="00000000" w:rsidRDefault="00000000" w:rsidRPr="00000000" w14:paraId="0000001B">
      <w:pPr>
        <w:numPr>
          <w:ilvl w:val="0"/>
          <w:numId w:val="4"/>
        </w:numPr>
        <w:pBdr>
          <w:top w:space="0" w:sz="0" w:val="nil"/>
          <w:left w:space="0" w:sz="0" w:val="nil"/>
          <w:bottom w:space="0" w:sz="0" w:val="nil"/>
          <w:right w:space="0" w:sz="0" w:val="nil"/>
          <w:between w:space="0" w:sz="0" w:val="nil"/>
        </w:pBdr>
        <w:spacing w:after="120"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Why This Insight Matters:</w:t>
      </w:r>
      <w:r w:rsidDel="00000000" w:rsidR="00000000" w:rsidRPr="00000000">
        <w:rPr>
          <w:rFonts w:ascii="Google Sans" w:cs="Google Sans" w:eastAsia="Google Sans" w:hAnsi="Google Sans"/>
          <w:color w:val="1f1f1f"/>
          <w:rtl w:val="0"/>
        </w:rPr>
        <w:t xml:space="preserve">  Customers who are paying more because devices have become expensive may be highly price-sensitive. This makes it harder for an unfamiliar brand to charge a premium unless it offers a clear and trusted reason to switch.</w:t>
      </w:r>
      <w:r w:rsidDel="00000000" w:rsidR="00000000" w:rsidRPr="00000000">
        <w:rPr>
          <w:rtl w:val="0"/>
        </w:rPr>
      </w:r>
    </w:p>
    <w:p w:rsidR="00000000" w:rsidDel="00000000" w:rsidP="00000000" w:rsidRDefault="00000000" w:rsidRPr="00000000" w14:paraId="0000001C">
      <w:pPr>
        <w:pStyle w:val="Heading3"/>
        <w:spacing w:after="120" w:line="275" w:lineRule="auto"/>
        <w:jc w:val="both"/>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Insight 3</w:t>
      </w:r>
    </w:p>
    <w:p w:rsidR="00000000" w:rsidDel="00000000" w:rsidP="00000000" w:rsidRDefault="00000000" w:rsidRPr="00000000" w14:paraId="0000001D">
      <w:pPr>
        <w:numPr>
          <w:ilvl w:val="0"/>
          <w:numId w:val="5"/>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Insight Summary:</w:t>
      </w:r>
      <w:r w:rsidDel="00000000" w:rsidR="00000000" w:rsidRPr="00000000">
        <w:rPr>
          <w:rFonts w:ascii="Google Sans" w:cs="Google Sans" w:eastAsia="Google Sans" w:hAnsi="Google Sans"/>
          <w:color w:val="1f1f1f"/>
          <w:rtl w:val="0"/>
        </w:rPr>
        <w:t xml:space="preserve"> The target segment is highly competitive, and leading brands already hold strong positions across the relevant price bands.</w:t>
      </w:r>
      <w:r w:rsidDel="00000000" w:rsidR="00000000" w:rsidRPr="00000000">
        <w:rPr>
          <w:rtl w:val="0"/>
        </w:rPr>
      </w:r>
    </w:p>
    <w:p w:rsidR="00000000" w:rsidDel="00000000" w:rsidP="00000000" w:rsidRDefault="00000000" w:rsidRPr="00000000" w14:paraId="0000001E">
      <w:pPr>
        <w:numPr>
          <w:ilvl w:val="0"/>
          <w:numId w:val="5"/>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Supporting Evidence or Signals:</w:t>
      </w:r>
      <w:r w:rsidDel="00000000" w:rsidR="00000000" w:rsidRPr="00000000">
        <w:rPr>
          <w:rFonts w:ascii="Google Sans" w:cs="Google Sans" w:eastAsia="Google Sans" w:hAnsi="Google Sans"/>
          <w:color w:val="1f1f1f"/>
          <w:rtl w:val="0"/>
        </w:rPr>
        <w:t xml:space="preserve"> IDC reporting cited in the Quick Research output showed that Vivo, Samsung, and OPPO led the ₹30,000–₹45,000 range in 2025, while Samsung and OPPO were strongest in the ₹45,000–₹50,000 range. Above ₹45,000, Samsung and Apple held more than 94 percent combined share in the cited 2024 market evidence. OnePlus shipments fell 38.8 percent year on year in 2025 and Xiaomi shipments declined 29.3 percent. The internal dataset analysis identified 133 listed models in the ₹30,000–₹50,000 tier and a 36.8 percent top-brand concentration, indicating meaningful catalogue competition. </w:t>
      </w:r>
      <w:r w:rsidDel="00000000" w:rsidR="00000000" w:rsidRPr="00000000">
        <w:rPr>
          <w:rtl w:val="0"/>
        </w:rPr>
      </w:r>
    </w:p>
    <w:p w:rsidR="00000000" w:rsidDel="00000000" w:rsidP="00000000" w:rsidRDefault="00000000" w:rsidRPr="00000000" w14:paraId="0000001F">
      <w:pPr>
        <w:numPr>
          <w:ilvl w:val="0"/>
          <w:numId w:val="5"/>
        </w:numPr>
        <w:pBdr>
          <w:top w:space="0" w:sz="0" w:val="nil"/>
          <w:left w:space="0" w:sz="0" w:val="nil"/>
          <w:bottom w:space="0" w:sz="0" w:val="nil"/>
          <w:right w:space="0" w:sz="0" w:val="nil"/>
          <w:between w:space="0" w:sz="0" w:val="nil"/>
        </w:pBdr>
        <w:spacing w:after="120"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Why This Insight Matters:</w:t>
      </w:r>
      <w:r w:rsidDel="00000000" w:rsidR="00000000" w:rsidRPr="00000000">
        <w:rPr>
          <w:rFonts w:ascii="Google Sans" w:cs="Google Sans" w:eastAsia="Google Sans" w:hAnsi="Google Sans"/>
          <w:color w:val="1f1f1f"/>
          <w:rtl w:val="0"/>
        </w:rPr>
        <w:t xml:space="preserve"> A new brand would need to overcome brand familiarity, established retail relationships, existing online visibility, service networks, and customer trust. Competing only on specifications or price is unlikely to be enough.</w:t>
      </w:r>
      <w:r w:rsidDel="00000000" w:rsidR="00000000" w:rsidRPr="00000000">
        <w:rPr>
          <w:rtl w:val="0"/>
        </w:rPr>
      </w:r>
    </w:p>
    <w:p w:rsidR="00000000" w:rsidDel="00000000" w:rsidP="00000000" w:rsidRDefault="00000000" w:rsidRPr="00000000" w14:paraId="00000020">
      <w:pPr>
        <w:pStyle w:val="Heading3"/>
        <w:spacing w:after="120" w:line="275" w:lineRule="auto"/>
        <w:jc w:val="both"/>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Insight 4</w:t>
      </w:r>
    </w:p>
    <w:p w:rsidR="00000000" w:rsidDel="00000000" w:rsidP="00000000" w:rsidRDefault="00000000" w:rsidRPr="00000000" w14:paraId="00000021">
      <w:pPr>
        <w:numPr>
          <w:ilvl w:val="0"/>
          <w:numId w:val="5"/>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Insight Summary:</w:t>
      </w:r>
      <w:r w:rsidDel="00000000" w:rsidR="00000000" w:rsidRPr="00000000">
        <w:rPr>
          <w:rFonts w:ascii="Google Sans" w:cs="Google Sans" w:eastAsia="Google Sans" w:hAnsi="Google Sans"/>
          <w:color w:val="1f1f1f"/>
          <w:rtl w:val="0"/>
        </w:rPr>
        <w:t xml:space="preserve"> Features alone are unlikely to differentiate a new smartphone in this segment because many competitive specifications are already widely available.</w:t>
      </w:r>
      <w:r w:rsidDel="00000000" w:rsidR="00000000" w:rsidRPr="00000000">
        <w:rPr>
          <w:rtl w:val="0"/>
        </w:rPr>
      </w:r>
    </w:p>
    <w:p w:rsidR="00000000" w:rsidDel="00000000" w:rsidP="00000000" w:rsidRDefault="00000000" w:rsidRPr="00000000" w14:paraId="00000022">
      <w:pPr>
        <w:numPr>
          <w:ilvl w:val="0"/>
          <w:numId w:val="5"/>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Supporting Evidence or Signals:</w:t>
      </w:r>
      <w:r w:rsidDel="00000000" w:rsidR="00000000" w:rsidRPr="00000000">
        <w:rPr>
          <w:rFonts w:ascii="Google Sans" w:cs="Google Sans" w:eastAsia="Google Sans" w:hAnsi="Google Sans"/>
          <w:color w:val="1f1f1f"/>
          <w:rtl w:val="0"/>
        </w:rPr>
        <w:t xml:space="preserve"> The agent analysis reviewed 1,020 smartphone listings across 11 fields and identified 133 models in the ₹30,000–₹50,000 band. Within this target band, 5G adoption exceeded 81 percent, NFC adoption was 80.5 percent, the average rating was 84.3, and median fast-charging capability was around 60–66W. External evidence reinforces this feature parity: 5G devices represented 87–89 percent of India shipments in 2025, 89 percent of surveyed consumers said AI capabilities influence purchase decisions, 57 percent were willing to pay more for camera quality, and 84 percent rated processor performance as very important. </w:t>
      </w:r>
      <w:r w:rsidDel="00000000" w:rsidR="00000000" w:rsidRPr="00000000">
        <w:rPr>
          <w:rtl w:val="0"/>
        </w:rPr>
      </w:r>
    </w:p>
    <w:p w:rsidR="00000000" w:rsidDel="00000000" w:rsidP="00000000" w:rsidRDefault="00000000" w:rsidRPr="00000000" w14:paraId="00000023">
      <w:pPr>
        <w:numPr>
          <w:ilvl w:val="0"/>
          <w:numId w:val="5"/>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Why This Insight Matters:</w:t>
      </w:r>
      <w:r w:rsidDel="00000000" w:rsidR="00000000" w:rsidRPr="00000000">
        <w:rPr>
          <w:rFonts w:ascii="Google Sans" w:cs="Google Sans" w:eastAsia="Google Sans" w:hAnsi="Google Sans"/>
          <w:color w:val="1f1f1f"/>
          <w:rtl w:val="0"/>
        </w:rPr>
        <w:t xml:space="preserve"> A new brand should treat these features as the minimum standard. Its proposition would need to be more distinctive, such as a clearly better camera experience, refined design, strong software support, dependable after-sales service, or a compelling finance and trade-in offer.</w:t>
      </w:r>
      <w:r w:rsidDel="00000000" w:rsidR="00000000" w:rsidRPr="00000000">
        <w:rPr>
          <w:rtl w:val="0"/>
        </w:rPr>
      </w:r>
    </w:p>
    <w:p w:rsidR="00000000" w:rsidDel="00000000" w:rsidP="00000000" w:rsidRDefault="00000000" w:rsidRPr="00000000" w14:paraId="00000024">
      <w:pPr>
        <w:pStyle w:val="Heading3"/>
        <w:spacing w:after="120" w:line="275" w:lineRule="auto"/>
        <w:jc w:val="both"/>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Insight 5</w:t>
      </w:r>
    </w:p>
    <w:p w:rsidR="00000000" w:rsidDel="00000000" w:rsidP="00000000" w:rsidRDefault="00000000" w:rsidRPr="00000000" w14:paraId="00000025">
      <w:pPr>
        <w:numPr>
          <w:ilvl w:val="0"/>
          <w:numId w:val="5"/>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Insight Summary:</w:t>
      </w:r>
      <w:r w:rsidDel="00000000" w:rsidR="00000000" w:rsidRPr="00000000">
        <w:rPr>
          <w:rFonts w:ascii="Google Sans" w:cs="Google Sans" w:eastAsia="Google Sans" w:hAnsi="Google Sans"/>
          <w:color w:val="1f1f1f"/>
          <w:rtl w:val="0"/>
        </w:rPr>
        <w:t xml:space="preserve"> Component costs, compliance requirements, and the need to build distribution and service coverage create substantial entry barriers.</w:t>
      </w:r>
      <w:r w:rsidDel="00000000" w:rsidR="00000000" w:rsidRPr="00000000">
        <w:rPr>
          <w:rtl w:val="0"/>
        </w:rPr>
      </w:r>
    </w:p>
    <w:p w:rsidR="00000000" w:rsidDel="00000000" w:rsidP="00000000" w:rsidRDefault="00000000" w:rsidRPr="00000000" w14:paraId="00000026">
      <w:pPr>
        <w:numPr>
          <w:ilvl w:val="0"/>
          <w:numId w:val="5"/>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Supporting Evidence or Signals:</w:t>
      </w:r>
      <w:r w:rsidDel="00000000" w:rsidR="00000000" w:rsidRPr="00000000">
        <w:rPr>
          <w:rFonts w:ascii="Google Sans" w:cs="Google Sans" w:eastAsia="Google Sans" w:hAnsi="Google Sans"/>
          <w:color w:val="1f1f1f"/>
          <w:rtl w:val="0"/>
        </w:rPr>
        <w:t xml:space="preserve"> The basic customs duty on imported finished mobile phones is 15 percent. The Quick Research report stated that BIS certification for foreign manufacturers can involve ₹20,000–₹30,000 in application fees, a $10,000 performance bank guarantee per product, and inspections lasting seven to eight months or longer. Counterpoint projected that DRAM and NAND would rise to 36 percent of a smartphone’s bill of materials by Q2 2026, compared with about 25 percent in Q1 2026; memory cost per gigabit had also tripled since 2025. </w:t>
      </w:r>
      <w:r w:rsidDel="00000000" w:rsidR="00000000" w:rsidRPr="00000000">
        <w:rPr>
          <w:rtl w:val="0"/>
        </w:rPr>
      </w:r>
    </w:p>
    <w:p w:rsidR="00000000" w:rsidDel="00000000" w:rsidP="00000000" w:rsidRDefault="00000000" w:rsidRPr="00000000" w14:paraId="00000027">
      <w:pPr>
        <w:numPr>
          <w:ilvl w:val="0"/>
          <w:numId w:val="5"/>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Why This Insight Matters:</w:t>
      </w:r>
      <w:r w:rsidDel="00000000" w:rsidR="00000000" w:rsidRPr="00000000">
        <w:rPr>
          <w:rFonts w:ascii="Google Sans" w:cs="Google Sans" w:eastAsia="Google Sans" w:hAnsi="Google Sans"/>
          <w:color w:val="1f1f1f"/>
          <w:rtl w:val="0"/>
        </w:rPr>
        <w:t xml:space="preserve"> A new entrant without scale purchasing power or local operating capability could face lower margins than established competitors. The business would need a credible supply-chain, compliance, distribution, and service plan before a launch could be justified.</w:t>
      </w:r>
      <w:r w:rsidDel="00000000" w:rsidR="00000000" w:rsidRPr="00000000">
        <w:rPr>
          <w:rtl w:val="0"/>
        </w:rPr>
      </w:r>
    </w:p>
    <w:p w:rsidR="00000000" w:rsidDel="00000000" w:rsidP="00000000" w:rsidRDefault="00000000" w:rsidRPr="00000000" w14:paraId="00000028">
      <w:pPr>
        <w:pStyle w:val="Heading2"/>
        <w:spacing w:after="120" w:before="120" w:line="275" w:lineRule="auto"/>
        <w:jc w:val="both"/>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5. Visual Evidence</w:t>
      </w:r>
    </w:p>
    <w:p w:rsidR="00000000" w:rsidDel="00000000" w:rsidP="00000000" w:rsidRDefault="00000000" w:rsidRPr="00000000" w14:paraId="00000029">
      <w:pPr>
        <w:numPr>
          <w:ilvl w:val="0"/>
          <w:numId w:val="6"/>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Chart Type:</w:t>
      </w:r>
      <w:r w:rsidDel="00000000" w:rsidR="00000000" w:rsidRPr="00000000">
        <w:rPr>
          <w:rFonts w:ascii="Google Sans" w:cs="Google Sans" w:eastAsia="Google Sans" w:hAnsi="Google Sans"/>
          <w:color w:val="1f1f1f"/>
          <w:rtl w:val="0"/>
        </w:rPr>
        <w:t xml:space="preserve"> Bar chart showing product density by smartphone price band, created from the uploaded smartphone listing dataset. (Supporting screenshots, including the product-density chart and Quick Research outputs, are included in the screenshots folder.)</w:t>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line="275" w:lineRule="auto"/>
        <w:ind w:left="465" w:firstLine="0"/>
        <w:jc w:val="both"/>
        <w:rPr/>
      </w:pPr>
      <w:r w:rsidDel="00000000" w:rsidR="00000000" w:rsidRPr="00000000">
        <w:rPr/>
        <w:drawing>
          <wp:inline distB="0" distT="0" distL="0" distR="0">
            <wp:extent cx="5943600" cy="2107565"/>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43600" cy="2107565"/>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numPr>
          <w:ilvl w:val="0"/>
          <w:numId w:val="6"/>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What the visualization shows:</w:t>
      </w:r>
      <w:r w:rsidDel="00000000" w:rsidR="00000000" w:rsidRPr="00000000">
        <w:rPr>
          <w:rFonts w:ascii="Google Sans" w:cs="Google Sans" w:eastAsia="Google Sans" w:hAnsi="Google Sans"/>
          <w:color w:val="1f1f1f"/>
          <w:rtl w:val="0"/>
        </w:rPr>
        <w:t xml:space="preserve"> The chart shows how many smartphone listings fall into each price range. It helps illustrate the broad availability of devices across the market and the concentration of alternatives around mid-range and premium price points.</w:t>
      </w:r>
      <w:r w:rsidDel="00000000" w:rsidR="00000000" w:rsidRPr="00000000">
        <w:rPr>
          <w:rtl w:val="0"/>
        </w:rPr>
      </w:r>
    </w:p>
    <w:p w:rsidR="00000000" w:rsidDel="00000000" w:rsidP="00000000" w:rsidRDefault="00000000" w:rsidRPr="00000000" w14:paraId="0000002C">
      <w:pPr>
        <w:numPr>
          <w:ilvl w:val="0"/>
          <w:numId w:val="6"/>
        </w:numPr>
        <w:pBdr>
          <w:top w:space="0" w:sz="0" w:val="nil"/>
          <w:left w:space="0" w:sz="0" w:val="nil"/>
          <w:bottom w:space="0" w:sz="0" w:val="nil"/>
          <w:right w:space="0" w:sz="0" w:val="nil"/>
          <w:between w:space="0" w:sz="0" w:val="nil"/>
        </w:pBdr>
        <w:spacing w:after="120"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How it supports the insight:</w:t>
      </w:r>
      <w:r w:rsidDel="00000000" w:rsidR="00000000" w:rsidRPr="00000000">
        <w:rPr>
          <w:rFonts w:ascii="Google Sans" w:cs="Google Sans" w:eastAsia="Google Sans" w:hAnsi="Google Sans"/>
          <w:color w:val="1f1f1f"/>
          <w:rtl w:val="0"/>
        </w:rPr>
        <w:t xml:space="preserve"> The visual supports the conclusion that buyers have many choices and that a new entrant would face a crowded catalogue environment. It should not be interpreted as sales volume, market share, or proof of customer demand because the dataset contains listings and specifications rather than verified commercial outcomes.</w:t>
      </w:r>
      <w:r w:rsidDel="00000000" w:rsidR="00000000" w:rsidRPr="00000000">
        <w:rPr>
          <w:rtl w:val="0"/>
        </w:rPr>
      </w:r>
    </w:p>
    <w:p w:rsidR="00000000" w:rsidDel="00000000" w:rsidP="00000000" w:rsidRDefault="00000000" w:rsidRPr="00000000" w14:paraId="0000002D">
      <w:pPr>
        <w:pStyle w:val="Heading2"/>
        <w:spacing w:after="120" w:before="120" w:line="275" w:lineRule="auto"/>
        <w:jc w:val="both"/>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6. Confidence Assessment</w:t>
      </w:r>
    </w:p>
    <w:p w:rsidR="00000000" w:rsidDel="00000000" w:rsidP="00000000" w:rsidRDefault="00000000" w:rsidRPr="00000000" w14:paraId="0000002E">
      <w:pPr>
        <w:pStyle w:val="Heading3"/>
        <w:spacing w:after="120" w:before="120" w:line="274.99199999999996" w:lineRule="auto"/>
        <w:jc w:val="both"/>
        <w:rPr/>
      </w:pPr>
      <w:bookmarkStart w:colFirst="0" w:colLast="0" w:name="_4qcfv96r1pfc" w:id="0"/>
      <w:bookmarkEnd w:id="0"/>
      <w:r w:rsidDel="00000000" w:rsidR="00000000" w:rsidRPr="00000000">
        <w:rPr>
          <w:rFonts w:ascii="Google Sans" w:cs="Google Sans" w:eastAsia="Google Sans" w:hAnsi="Google Sans"/>
          <w:color w:val="1f1f1f"/>
          <w:rtl w:val="0"/>
        </w:rPr>
        <w:t xml:space="preserve">Insight 1: Segment Share and Market Contraction</w:t>
      </w:r>
      <w:r w:rsidDel="00000000" w:rsidR="00000000" w:rsidRPr="00000000">
        <w:rPr>
          <w:rtl w:val="0"/>
        </w:rPr>
      </w:r>
    </w:p>
    <w:p w:rsidR="00000000" w:rsidDel="00000000" w:rsidP="00000000" w:rsidRDefault="00000000" w:rsidRPr="00000000" w14:paraId="0000002F">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Source quality:</w:t>
      </w:r>
      <w:r w:rsidDel="00000000" w:rsidR="00000000" w:rsidRPr="00000000">
        <w:rPr>
          <w:rFonts w:ascii="Google Sans" w:cs="Google Sans" w:eastAsia="Google Sans" w:hAnsi="Google Sans"/>
          <w:color w:val="1f1f1f"/>
          <w:rtl w:val="0"/>
        </w:rPr>
        <w:t xml:space="preserve"> High. This insight relies primarily on Counterpoint Research and IDC shipment reporting, which are established market-intelligence sources.</w:t>
      </w:r>
      <w:r w:rsidDel="00000000" w:rsidR="00000000" w:rsidRPr="00000000">
        <w:rPr>
          <w:rtl w:val="0"/>
        </w:rPr>
      </w:r>
    </w:p>
    <w:p w:rsidR="00000000" w:rsidDel="00000000" w:rsidP="00000000" w:rsidRDefault="00000000" w:rsidRPr="00000000" w14:paraId="00000030">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Consistency across sources:</w:t>
      </w:r>
      <w:r w:rsidDel="00000000" w:rsidR="00000000" w:rsidRPr="00000000">
        <w:rPr>
          <w:rFonts w:ascii="Google Sans" w:cs="Google Sans" w:eastAsia="Google Sans" w:hAnsi="Google Sans"/>
          <w:color w:val="1f1f1f"/>
          <w:rtl w:val="0"/>
        </w:rPr>
        <w:t xml:space="preserve"> High. IDC’s forecast of a 12–15 percent contraction and Counterpoint’s forecast of a 13 percent decline both point to a weaker 2026 market, despite prior premium-segment growth.</w:t>
      </w:r>
      <w:r w:rsidDel="00000000" w:rsidR="00000000" w:rsidRPr="00000000">
        <w:rPr>
          <w:rtl w:val="0"/>
        </w:rPr>
      </w:r>
    </w:p>
    <w:p w:rsidR="00000000" w:rsidDel="00000000" w:rsidP="00000000" w:rsidRDefault="00000000" w:rsidRPr="00000000" w14:paraId="00000031">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Timeliness of information:</w:t>
      </w:r>
      <w:r w:rsidDel="00000000" w:rsidR="00000000" w:rsidRPr="00000000">
        <w:rPr>
          <w:rFonts w:ascii="Google Sans" w:cs="Google Sans" w:eastAsia="Google Sans" w:hAnsi="Google Sans"/>
          <w:color w:val="1f1f1f"/>
          <w:rtl w:val="0"/>
        </w:rPr>
        <w:t xml:space="preserve"> High. The evidence covers 2025 actual performance and 2026 forecasts and quarterly shipment reporting.</w:t>
      </w:r>
      <w:r w:rsidDel="00000000" w:rsidR="00000000" w:rsidRPr="00000000">
        <w:rPr>
          <w:rtl w:val="0"/>
        </w:rPr>
      </w:r>
    </w:p>
    <w:p w:rsidR="00000000" w:rsidDel="00000000" w:rsidP="00000000" w:rsidRDefault="00000000" w:rsidRPr="00000000" w14:paraId="00000032">
      <w:pPr>
        <w:numPr>
          <w:ilvl w:val="0"/>
          <w:numId w:val="7"/>
        </w:numPr>
        <w:spacing w:after="240"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Overall confidence level:</w:t>
      </w:r>
      <w:r w:rsidDel="00000000" w:rsidR="00000000" w:rsidRPr="00000000">
        <w:rPr>
          <w:rFonts w:ascii="Google Sans" w:cs="Google Sans" w:eastAsia="Google Sans" w:hAnsi="Google Sans"/>
          <w:color w:val="1f1f1f"/>
          <w:rtl w:val="0"/>
        </w:rPr>
        <w:t xml:space="preserve"> High.</w:t>
      </w:r>
      <w:r w:rsidDel="00000000" w:rsidR="00000000" w:rsidRPr="00000000">
        <w:rPr>
          <w:rtl w:val="0"/>
        </w:rPr>
      </w:r>
    </w:p>
    <w:p w:rsidR="00000000" w:rsidDel="00000000" w:rsidP="00000000" w:rsidRDefault="00000000" w:rsidRPr="00000000" w14:paraId="00000033">
      <w:pPr>
        <w:pStyle w:val="Heading3"/>
        <w:spacing w:after="120" w:before="120" w:line="274.99199999999996" w:lineRule="auto"/>
        <w:jc w:val="both"/>
        <w:rPr/>
      </w:pPr>
      <w:bookmarkStart w:colFirst="0" w:colLast="0" w:name="_oprkrm5gi7t0" w:id="1"/>
      <w:bookmarkEnd w:id="1"/>
      <w:r w:rsidDel="00000000" w:rsidR="00000000" w:rsidRPr="00000000">
        <w:rPr>
          <w:rFonts w:ascii="Google Sans" w:cs="Google Sans" w:eastAsia="Google Sans" w:hAnsi="Google Sans"/>
          <w:color w:val="1f1f1f"/>
          <w:rtl w:val="0"/>
        </w:rPr>
        <w:t xml:space="preserve">Insight 2: Cost-Driven Premiumisation</w:t>
      </w:r>
      <w:r w:rsidDel="00000000" w:rsidR="00000000" w:rsidRPr="00000000">
        <w:rPr>
          <w:rtl w:val="0"/>
        </w:rPr>
      </w:r>
    </w:p>
    <w:p w:rsidR="00000000" w:rsidDel="00000000" w:rsidP="00000000" w:rsidRDefault="00000000" w:rsidRPr="00000000" w14:paraId="00000034">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Source quality:</w:t>
      </w:r>
      <w:r w:rsidDel="00000000" w:rsidR="00000000" w:rsidRPr="00000000">
        <w:rPr>
          <w:rFonts w:ascii="Google Sans" w:cs="Google Sans" w:eastAsia="Google Sans" w:hAnsi="Google Sans"/>
          <w:color w:val="1f1f1f"/>
          <w:rtl w:val="0"/>
        </w:rPr>
        <w:t xml:space="preserve"> Medium to high. Synthesizes IDC and Counterpoint market reporting alongside component cost assessments from Counterpoint and TechInsights.</w:t>
      </w:r>
      <w:r w:rsidDel="00000000" w:rsidR="00000000" w:rsidRPr="00000000">
        <w:rPr>
          <w:rtl w:val="0"/>
        </w:rPr>
      </w:r>
    </w:p>
    <w:p w:rsidR="00000000" w:rsidDel="00000000" w:rsidP="00000000" w:rsidRDefault="00000000" w:rsidRPr="00000000" w14:paraId="00000035">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Consistency across sources:</w:t>
      </w:r>
      <w:r w:rsidDel="00000000" w:rsidR="00000000" w:rsidRPr="00000000">
        <w:rPr>
          <w:rFonts w:ascii="Google Sans" w:cs="Google Sans" w:eastAsia="Google Sans" w:hAnsi="Google Sans"/>
          <w:color w:val="1f1f1f"/>
          <w:rtl w:val="0"/>
        </w:rPr>
        <w:t xml:space="preserve"> Medium. Sharp contractions in entry-level segments and severe memory inflation reinforce cost pressures; however, consumer sentiment indicates select buyers intentionally stretch budgets for preferred devices.</w:t>
      </w:r>
      <w:r w:rsidDel="00000000" w:rsidR="00000000" w:rsidRPr="00000000">
        <w:rPr>
          <w:rtl w:val="0"/>
        </w:rPr>
      </w:r>
    </w:p>
    <w:p w:rsidR="00000000" w:rsidDel="00000000" w:rsidP="00000000" w:rsidRDefault="00000000" w:rsidRPr="00000000" w14:paraId="00000036">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Timeliness of information:</w:t>
      </w:r>
      <w:r w:rsidDel="00000000" w:rsidR="00000000" w:rsidRPr="00000000">
        <w:rPr>
          <w:rFonts w:ascii="Google Sans" w:cs="Google Sans" w:eastAsia="Google Sans" w:hAnsi="Google Sans"/>
          <w:color w:val="1f1f1f"/>
          <w:rtl w:val="0"/>
        </w:rPr>
        <w:t xml:space="preserve"> High. Draws on Q1 and Q3 2026 operational metrics and shipment data.</w:t>
      </w:r>
      <w:r w:rsidDel="00000000" w:rsidR="00000000" w:rsidRPr="00000000">
        <w:rPr>
          <w:rtl w:val="0"/>
        </w:rPr>
      </w:r>
    </w:p>
    <w:p w:rsidR="00000000" w:rsidDel="00000000" w:rsidP="00000000" w:rsidRDefault="00000000" w:rsidRPr="00000000" w14:paraId="00000037">
      <w:pPr>
        <w:numPr>
          <w:ilvl w:val="0"/>
          <w:numId w:val="7"/>
        </w:numPr>
        <w:spacing w:after="240"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Overall confidence level:</w:t>
      </w:r>
      <w:r w:rsidDel="00000000" w:rsidR="00000000" w:rsidRPr="00000000">
        <w:rPr>
          <w:rFonts w:ascii="Google Sans" w:cs="Google Sans" w:eastAsia="Google Sans" w:hAnsi="Google Sans"/>
          <w:color w:val="1f1f1f"/>
          <w:rtl w:val="0"/>
        </w:rPr>
        <w:t xml:space="preserve"> Medium.</w:t>
      </w:r>
      <w:r w:rsidDel="00000000" w:rsidR="00000000" w:rsidRPr="00000000">
        <w:rPr>
          <w:rtl w:val="0"/>
        </w:rPr>
      </w:r>
    </w:p>
    <w:p w:rsidR="00000000" w:rsidDel="00000000" w:rsidP="00000000" w:rsidRDefault="00000000" w:rsidRPr="00000000" w14:paraId="00000038">
      <w:pPr>
        <w:pStyle w:val="Heading3"/>
        <w:spacing w:after="120" w:before="120" w:line="274.99199999999996" w:lineRule="auto"/>
        <w:jc w:val="both"/>
        <w:rPr/>
      </w:pPr>
      <w:bookmarkStart w:colFirst="0" w:colLast="0" w:name="_lxh9abu8c3qu" w:id="2"/>
      <w:bookmarkEnd w:id="2"/>
      <w:r w:rsidDel="00000000" w:rsidR="00000000" w:rsidRPr="00000000">
        <w:rPr>
          <w:rFonts w:ascii="Google Sans" w:cs="Google Sans" w:eastAsia="Google Sans" w:hAnsi="Google Sans"/>
          <w:color w:val="1f1f1f"/>
          <w:rtl w:val="0"/>
        </w:rPr>
        <w:t xml:space="preserve">Insight 3: Incumbent Concentration and Competitive Pressure</w:t>
      </w:r>
      <w:r w:rsidDel="00000000" w:rsidR="00000000" w:rsidRPr="00000000">
        <w:rPr>
          <w:rtl w:val="0"/>
        </w:rPr>
      </w:r>
    </w:p>
    <w:p w:rsidR="00000000" w:rsidDel="00000000" w:rsidP="00000000" w:rsidRDefault="00000000" w:rsidRPr="00000000" w14:paraId="00000039">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Source quality:</w:t>
      </w:r>
      <w:r w:rsidDel="00000000" w:rsidR="00000000" w:rsidRPr="00000000">
        <w:rPr>
          <w:rFonts w:ascii="Google Sans" w:cs="Google Sans" w:eastAsia="Google Sans" w:hAnsi="Google Sans"/>
          <w:color w:val="1f1f1f"/>
          <w:rtl w:val="0"/>
        </w:rPr>
        <w:t xml:space="preserve"> Medium to high. Utilizes IDC-linked analytics, market share data for Apple and Samsung, and internal device listings.</w:t>
      </w:r>
      <w:r w:rsidDel="00000000" w:rsidR="00000000" w:rsidRPr="00000000">
        <w:rPr>
          <w:rtl w:val="0"/>
        </w:rPr>
      </w:r>
    </w:p>
    <w:p w:rsidR="00000000" w:rsidDel="00000000" w:rsidP="00000000" w:rsidRDefault="00000000" w:rsidRPr="00000000" w14:paraId="0000003A">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Consistency across sources:</w:t>
      </w:r>
      <w:r w:rsidDel="00000000" w:rsidR="00000000" w:rsidRPr="00000000">
        <w:rPr>
          <w:rFonts w:ascii="Google Sans" w:cs="Google Sans" w:eastAsia="Google Sans" w:hAnsi="Google Sans"/>
          <w:color w:val="1f1f1f"/>
          <w:rtl w:val="0"/>
        </w:rPr>
        <w:t xml:space="preserve"> Medium to high. Third-party metrics highlight major brand consolidation and challenger retreats, matching catalog saturation across 133 target models in the internal dataset.</w:t>
      </w:r>
      <w:r w:rsidDel="00000000" w:rsidR="00000000" w:rsidRPr="00000000">
        <w:rPr>
          <w:rtl w:val="0"/>
        </w:rPr>
      </w:r>
    </w:p>
    <w:p w:rsidR="00000000" w:rsidDel="00000000" w:rsidP="00000000" w:rsidRDefault="00000000" w:rsidRPr="00000000" w14:paraId="0000003B">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Timeliness of information:</w:t>
      </w:r>
      <w:r w:rsidDel="00000000" w:rsidR="00000000" w:rsidRPr="00000000">
        <w:rPr>
          <w:rFonts w:ascii="Google Sans" w:cs="Google Sans" w:eastAsia="Google Sans" w:hAnsi="Google Sans"/>
          <w:color w:val="1f1f1f"/>
          <w:rtl w:val="0"/>
        </w:rPr>
        <w:t xml:space="preserve"> Medium. Industry share metrics cover 2024 through 2025, while the device dataset aggregates multiple release cycles.</w:t>
      </w:r>
      <w:r w:rsidDel="00000000" w:rsidR="00000000" w:rsidRPr="00000000">
        <w:rPr>
          <w:rtl w:val="0"/>
        </w:rPr>
      </w:r>
    </w:p>
    <w:p w:rsidR="00000000" w:rsidDel="00000000" w:rsidP="00000000" w:rsidRDefault="00000000" w:rsidRPr="00000000" w14:paraId="0000003C">
      <w:pPr>
        <w:numPr>
          <w:ilvl w:val="0"/>
          <w:numId w:val="7"/>
        </w:numPr>
        <w:spacing w:after="240"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Overall confidence level:</w:t>
      </w:r>
      <w:r w:rsidDel="00000000" w:rsidR="00000000" w:rsidRPr="00000000">
        <w:rPr>
          <w:rFonts w:ascii="Google Sans" w:cs="Google Sans" w:eastAsia="Google Sans" w:hAnsi="Google Sans"/>
          <w:color w:val="1f1f1f"/>
          <w:rtl w:val="0"/>
        </w:rPr>
        <w:t xml:space="preserve"> Medium to high.</w:t>
      </w:r>
      <w:r w:rsidDel="00000000" w:rsidR="00000000" w:rsidRPr="00000000">
        <w:rPr>
          <w:rtl w:val="0"/>
        </w:rPr>
      </w:r>
    </w:p>
    <w:p w:rsidR="00000000" w:rsidDel="00000000" w:rsidP="00000000" w:rsidRDefault="00000000" w:rsidRPr="00000000" w14:paraId="0000003D">
      <w:pPr>
        <w:pStyle w:val="Heading3"/>
        <w:spacing w:after="120" w:before="120" w:line="274.99199999999996" w:lineRule="auto"/>
        <w:jc w:val="both"/>
        <w:rPr/>
      </w:pPr>
      <w:bookmarkStart w:colFirst="0" w:colLast="0" w:name="_5th0mdsqbsx1" w:id="3"/>
      <w:bookmarkEnd w:id="3"/>
      <w:r w:rsidDel="00000000" w:rsidR="00000000" w:rsidRPr="00000000">
        <w:rPr>
          <w:rFonts w:ascii="Google Sans" w:cs="Google Sans" w:eastAsia="Google Sans" w:hAnsi="Google Sans"/>
          <w:color w:val="1f1f1f"/>
          <w:rtl w:val="0"/>
        </w:rPr>
        <w:t xml:space="preserve">Insight 4: Hardware Parity and Table Stakes</w:t>
      </w:r>
      <w:r w:rsidDel="00000000" w:rsidR="00000000" w:rsidRPr="00000000">
        <w:rPr>
          <w:rtl w:val="0"/>
        </w:rPr>
      </w:r>
    </w:p>
    <w:p w:rsidR="00000000" w:rsidDel="00000000" w:rsidP="00000000" w:rsidRDefault="00000000" w:rsidRPr="00000000" w14:paraId="0000003E">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Source quality:</w:t>
      </w:r>
      <w:r w:rsidDel="00000000" w:rsidR="00000000" w:rsidRPr="00000000">
        <w:rPr>
          <w:rFonts w:ascii="Google Sans" w:cs="Google Sans" w:eastAsia="Google Sans" w:hAnsi="Google Sans"/>
          <w:color w:val="1f1f1f"/>
          <w:rtl w:val="0"/>
        </w:rPr>
        <w:t xml:space="preserve"> Medium to high. Merges catalog data across 1,020 listings with broader consumer behavior studies.</w:t>
      </w:r>
      <w:r w:rsidDel="00000000" w:rsidR="00000000" w:rsidRPr="00000000">
        <w:rPr>
          <w:rtl w:val="0"/>
        </w:rPr>
      </w:r>
    </w:p>
    <w:p w:rsidR="00000000" w:rsidDel="00000000" w:rsidP="00000000" w:rsidRDefault="00000000" w:rsidRPr="00000000" w14:paraId="0000003F">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Consistency across sources:</w:t>
      </w:r>
      <w:r w:rsidDel="00000000" w:rsidR="00000000" w:rsidRPr="00000000">
        <w:rPr>
          <w:rFonts w:ascii="Google Sans" w:cs="Google Sans" w:eastAsia="Google Sans" w:hAnsi="Google Sans"/>
          <w:color w:val="1f1f1f"/>
          <w:rtl w:val="0"/>
        </w:rPr>
        <w:t xml:space="preserve"> High. Widespread adoption of 5G, NFC, and quick charging in the dataset aligns with buyer emphasis on processing power, AI capabilities, and imaging performance.</w:t>
      </w:r>
      <w:r w:rsidDel="00000000" w:rsidR="00000000" w:rsidRPr="00000000">
        <w:rPr>
          <w:rtl w:val="0"/>
        </w:rPr>
      </w:r>
    </w:p>
    <w:p w:rsidR="00000000" w:rsidDel="00000000" w:rsidP="00000000" w:rsidRDefault="00000000" w:rsidRPr="00000000" w14:paraId="00000040">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Timeliness of information:</w:t>
      </w:r>
      <w:r w:rsidDel="00000000" w:rsidR="00000000" w:rsidRPr="00000000">
        <w:rPr>
          <w:rFonts w:ascii="Google Sans" w:cs="Google Sans" w:eastAsia="Google Sans" w:hAnsi="Google Sans"/>
          <w:color w:val="1f1f1f"/>
          <w:rtl w:val="0"/>
        </w:rPr>
        <w:t xml:space="preserve"> Medium. Macro consumer research reflects current trends, whereas device specifications bridge preceding and active product line-ups.</w:t>
      </w:r>
      <w:r w:rsidDel="00000000" w:rsidR="00000000" w:rsidRPr="00000000">
        <w:rPr>
          <w:rtl w:val="0"/>
        </w:rPr>
      </w:r>
    </w:p>
    <w:p w:rsidR="00000000" w:rsidDel="00000000" w:rsidP="00000000" w:rsidRDefault="00000000" w:rsidRPr="00000000" w14:paraId="00000041">
      <w:pPr>
        <w:numPr>
          <w:ilvl w:val="0"/>
          <w:numId w:val="7"/>
        </w:numPr>
        <w:spacing w:after="240"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Overall confidence level:</w:t>
      </w:r>
      <w:r w:rsidDel="00000000" w:rsidR="00000000" w:rsidRPr="00000000">
        <w:rPr>
          <w:rFonts w:ascii="Google Sans" w:cs="Google Sans" w:eastAsia="Google Sans" w:hAnsi="Google Sans"/>
          <w:color w:val="1f1f1f"/>
          <w:rtl w:val="0"/>
        </w:rPr>
        <w:t xml:space="preserve"> Medium to high.</w:t>
      </w:r>
      <w:r w:rsidDel="00000000" w:rsidR="00000000" w:rsidRPr="00000000">
        <w:rPr>
          <w:rtl w:val="0"/>
        </w:rPr>
      </w:r>
    </w:p>
    <w:p w:rsidR="00000000" w:rsidDel="00000000" w:rsidP="00000000" w:rsidRDefault="00000000" w:rsidRPr="00000000" w14:paraId="00000042">
      <w:pPr>
        <w:pStyle w:val="Heading3"/>
        <w:spacing w:after="120" w:before="120" w:line="274.99199999999996" w:lineRule="auto"/>
        <w:jc w:val="both"/>
        <w:rPr/>
      </w:pPr>
      <w:bookmarkStart w:colFirst="0" w:colLast="0" w:name="_6odazhahop6w" w:id="4"/>
      <w:bookmarkEnd w:id="4"/>
      <w:r w:rsidDel="00000000" w:rsidR="00000000" w:rsidRPr="00000000">
        <w:rPr>
          <w:rFonts w:ascii="Google Sans" w:cs="Google Sans" w:eastAsia="Google Sans" w:hAnsi="Google Sans"/>
          <w:color w:val="1f1f1f"/>
          <w:rtl w:val="0"/>
        </w:rPr>
        <w:t xml:space="preserve">Insight 5: Cost, Customs, and Compliance Barriers</w:t>
      </w:r>
      <w:r w:rsidDel="00000000" w:rsidR="00000000" w:rsidRPr="00000000">
        <w:rPr>
          <w:rtl w:val="0"/>
        </w:rPr>
      </w:r>
    </w:p>
    <w:p w:rsidR="00000000" w:rsidDel="00000000" w:rsidP="00000000" w:rsidRDefault="00000000" w:rsidRPr="00000000" w14:paraId="00000043">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Source quality:</w:t>
      </w:r>
      <w:r w:rsidDel="00000000" w:rsidR="00000000" w:rsidRPr="00000000">
        <w:rPr>
          <w:rFonts w:ascii="Google Sans" w:cs="Google Sans" w:eastAsia="Google Sans" w:hAnsi="Google Sans"/>
          <w:color w:val="1f1f1f"/>
          <w:rtl w:val="0"/>
        </w:rPr>
        <w:t xml:space="preserve"> Medium. Tariff schedules and component indices </w:t>
      </w:r>
      <w:r w:rsidDel="00000000" w:rsidR="00000000" w:rsidRPr="00000000">
        <w:rPr>
          <w:rtl w:val="0"/>
        </w:rPr>
        <w:t xml:space="preserve">are supported by official policy reporting and industry research</w:t>
      </w:r>
      <w:r w:rsidDel="00000000" w:rsidR="00000000" w:rsidRPr="00000000">
        <w:rPr>
          <w:rFonts w:ascii="Google Sans" w:cs="Google Sans" w:eastAsia="Google Sans" w:hAnsi="Google Sans"/>
          <w:color w:val="1f1f1f"/>
          <w:rtl w:val="0"/>
        </w:rPr>
        <w:t xml:space="preserve">, though regulatory BIS timelines stem from secondary research synthesis.</w:t>
      </w:r>
      <w:r w:rsidDel="00000000" w:rsidR="00000000" w:rsidRPr="00000000">
        <w:rPr>
          <w:rtl w:val="0"/>
        </w:rPr>
      </w:r>
    </w:p>
    <w:p w:rsidR="00000000" w:rsidDel="00000000" w:rsidP="00000000" w:rsidRDefault="00000000" w:rsidRPr="00000000" w14:paraId="00000044">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Consistency across sources:</w:t>
      </w:r>
      <w:r w:rsidDel="00000000" w:rsidR="00000000" w:rsidRPr="00000000">
        <w:rPr>
          <w:rFonts w:ascii="Google Sans" w:cs="Google Sans" w:eastAsia="Google Sans" w:hAnsi="Google Sans"/>
          <w:color w:val="1f1f1f"/>
          <w:rtl w:val="0"/>
        </w:rPr>
        <w:t xml:space="preserve"> Medium to high. Market signals consistently point to squeezed margins, with import tariffs and compliance hurdles presenting additional friction.</w:t>
      </w:r>
      <w:r w:rsidDel="00000000" w:rsidR="00000000" w:rsidRPr="00000000">
        <w:rPr>
          <w:rtl w:val="0"/>
        </w:rPr>
      </w:r>
    </w:p>
    <w:p w:rsidR="00000000" w:rsidDel="00000000" w:rsidP="00000000" w:rsidRDefault="00000000" w:rsidRPr="00000000" w14:paraId="00000045">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Timeliness of information:</w:t>
      </w:r>
      <w:r w:rsidDel="00000000" w:rsidR="00000000" w:rsidRPr="00000000">
        <w:rPr>
          <w:rFonts w:ascii="Google Sans" w:cs="Google Sans" w:eastAsia="Google Sans" w:hAnsi="Google Sans"/>
          <w:color w:val="1f1f1f"/>
          <w:rtl w:val="0"/>
        </w:rPr>
        <w:t xml:space="preserve"> High. Policy figures remain active, while bill-of-materials estimates reflect early 2026 projections.</w:t>
      </w:r>
      <w:r w:rsidDel="00000000" w:rsidR="00000000" w:rsidRPr="00000000">
        <w:rPr>
          <w:rtl w:val="0"/>
        </w:rPr>
      </w:r>
    </w:p>
    <w:p w:rsidR="00000000" w:rsidDel="00000000" w:rsidP="00000000" w:rsidRDefault="00000000" w:rsidRPr="00000000" w14:paraId="00000046">
      <w:pPr>
        <w:numPr>
          <w:ilvl w:val="0"/>
          <w:numId w:val="7"/>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Overall confidence level:</w:t>
      </w:r>
      <w:r w:rsidDel="00000000" w:rsidR="00000000" w:rsidRPr="00000000">
        <w:rPr>
          <w:rFonts w:ascii="Google Sans" w:cs="Google Sans" w:eastAsia="Google Sans" w:hAnsi="Google Sans"/>
          <w:color w:val="1f1f1f"/>
          <w:rtl w:val="0"/>
        </w:rPr>
        <w:t xml:space="preserve"> Medium.</w:t>
      </w:r>
      <w:r w:rsidDel="00000000" w:rsidR="00000000" w:rsidRPr="00000000">
        <w:rPr>
          <w:rtl w:val="0"/>
        </w:rPr>
      </w:r>
    </w:p>
    <w:p w:rsidR="00000000" w:rsidDel="00000000" w:rsidP="00000000" w:rsidRDefault="00000000" w:rsidRPr="00000000" w14:paraId="00000047">
      <w:pPr>
        <w:pStyle w:val="Heading2"/>
        <w:spacing w:after="120" w:before="120" w:line="275" w:lineRule="auto"/>
        <w:jc w:val="both"/>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7. Limitations and Risks</w:t>
      </w:r>
    </w:p>
    <w:p w:rsidR="00000000" w:rsidDel="00000000" w:rsidP="00000000" w:rsidRDefault="00000000" w:rsidRPr="00000000" w14:paraId="00000048">
      <w:pPr>
        <w:numPr>
          <w:ilvl w:val="0"/>
          <w:numId w:val="8"/>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Missing data:</w:t>
      </w:r>
      <w:r w:rsidDel="00000000" w:rsidR="00000000" w:rsidRPr="00000000">
        <w:rPr>
          <w:rFonts w:ascii="Google Sans" w:cs="Google Sans" w:eastAsia="Google Sans" w:hAnsi="Google Sans"/>
          <w:color w:val="1f1f1f"/>
          <w:rtl w:val="0"/>
        </w:rPr>
        <w:t xml:space="preserve"> The research does not include brand-level sales data for every model, market-share data for each price point, detailed retailer economics, customer acquisition costs, service-network costs, device-level gross margins, or primary customer research. The uploaded dataset does not measure sales, profitability, or actual consumer demand.</w:t>
      </w:r>
      <w:r w:rsidDel="00000000" w:rsidR="00000000" w:rsidRPr="00000000">
        <w:rPr>
          <w:rtl w:val="0"/>
        </w:rPr>
      </w:r>
    </w:p>
    <w:p w:rsidR="00000000" w:rsidDel="00000000" w:rsidP="00000000" w:rsidRDefault="00000000" w:rsidRPr="00000000" w14:paraId="00000049">
      <w:pPr>
        <w:numPr>
          <w:ilvl w:val="0"/>
          <w:numId w:val="8"/>
        </w:numPr>
        <w:pBdr>
          <w:top w:space="0" w:sz="0" w:val="nil"/>
          <w:left w:space="0" w:sz="0" w:val="nil"/>
          <w:bottom w:space="0" w:sz="0" w:val="nil"/>
          <w:right w:space="0" w:sz="0" w:val="nil"/>
          <w:between w:space="0" w:sz="0" w:val="nil"/>
        </w:pBdr>
        <w:spacing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Conflicting signals:</w:t>
      </w:r>
      <w:r w:rsidDel="00000000" w:rsidR="00000000" w:rsidRPr="00000000">
        <w:rPr>
          <w:rFonts w:ascii="Google Sans" w:cs="Google Sans" w:eastAsia="Google Sans" w:hAnsi="Google Sans"/>
          <w:color w:val="1f1f1f"/>
          <w:rtl w:val="0"/>
        </w:rPr>
        <w:t xml:space="preserve"> Premium segments have shown growth in share and some consumers are willing to stretch their budgets for preferred devices. However, the wider market outlook is negative and part of the shift toward higher prices may be cost-led rather than caused by stronger discretionary demand.</w:t>
      </w:r>
    </w:p>
    <w:p w:rsidR="00000000" w:rsidDel="00000000" w:rsidP="00000000" w:rsidRDefault="00000000" w:rsidRPr="00000000" w14:paraId="0000004A">
      <w:pPr>
        <w:numPr>
          <w:ilvl w:val="0"/>
          <w:numId w:val="8"/>
        </w:numPr>
        <w:pBdr>
          <w:top w:space="0" w:sz="0" w:val="nil"/>
          <w:left w:space="0" w:sz="0" w:val="nil"/>
          <w:bottom w:space="0" w:sz="0" w:val="nil"/>
          <w:right w:space="0" w:sz="0" w:val="nil"/>
          <w:between w:space="0" w:sz="0" w:val="nil"/>
        </w:pBdr>
        <w:spacing w:after="120" w:line="275" w:lineRule="auto"/>
        <w:ind w:left="465" w:hanging="360"/>
        <w:jc w:val="both"/>
        <w:rPr/>
      </w:pPr>
      <w:r w:rsidDel="00000000" w:rsidR="00000000" w:rsidRPr="00000000">
        <w:rPr>
          <w:rFonts w:ascii="Google Sans" w:cs="Google Sans" w:eastAsia="Google Sans" w:hAnsi="Google Sans"/>
          <w:b w:val="1"/>
          <w:bCs w:val="1"/>
          <w:color w:val="1f1f1f"/>
          <w:rtl w:val="0"/>
        </w:rPr>
        <w:t xml:space="preserve">Potential bias or ambiguity:</w:t>
      </w:r>
      <w:r w:rsidDel="00000000" w:rsidR="00000000" w:rsidRPr="00000000">
        <w:rPr>
          <w:rFonts w:ascii="Google Sans" w:cs="Google Sans" w:eastAsia="Google Sans" w:hAnsi="Google Sans"/>
          <w:color w:val="1f1f1f"/>
          <w:rtl w:val="0"/>
        </w:rPr>
        <w:t xml:space="preserve"> Public market reports can use different definitions of price bands, shipment periods, and market categories. Product listings can include older models, inaccurate specifications, duplicate variants, or phones that are no longer commercially important. Findings should therefore guide decisions rather than be treated as precise forecasts.</w:t>
      </w:r>
      <w:r w:rsidDel="00000000" w:rsidR="00000000" w:rsidRPr="00000000">
        <w:rPr>
          <w:rtl w:val="0"/>
        </w:rPr>
      </w:r>
    </w:p>
    <w:p w:rsidR="00000000" w:rsidDel="00000000" w:rsidP="00000000" w:rsidRDefault="00000000" w:rsidRPr="00000000" w14:paraId="0000004B">
      <w:pPr>
        <w:pStyle w:val="Heading2"/>
        <w:spacing w:after="120" w:before="120" w:line="275" w:lineRule="auto"/>
        <w:jc w:val="both"/>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8. Strategic Implications</w:t>
      </w:r>
    </w:p>
    <w:p w:rsidR="00000000" w:rsidDel="00000000" w:rsidP="00000000" w:rsidRDefault="00000000" w:rsidRPr="00000000" w14:paraId="0000004C">
      <w:pPr>
        <w:numPr>
          <w:ilvl w:val="0"/>
          <w:numId w:val="9"/>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What decisions could this inform?</w:t>
      </w:r>
      <w:r w:rsidDel="00000000" w:rsidR="00000000" w:rsidRPr="00000000">
        <w:rPr>
          <w:rtl w:val="0"/>
        </w:rPr>
      </w:r>
    </w:p>
    <w:p w:rsidR="00000000" w:rsidDel="00000000" w:rsidP="00000000" w:rsidRDefault="00000000" w:rsidRPr="00000000" w14:paraId="0000004D">
      <w:pPr>
        <w:numPr>
          <w:ilvl w:val="1"/>
          <w:numId w:val="9"/>
        </w:numPr>
        <w:spacing w:line="274.99199999999996" w:lineRule="auto"/>
        <w:ind w:left="870" w:hanging="360"/>
        <w:jc w:val="both"/>
      </w:pPr>
      <w:r w:rsidDel="00000000" w:rsidR="00000000" w:rsidRPr="00000000">
        <w:rPr>
          <w:rFonts w:ascii="Google Sans" w:cs="Google Sans" w:eastAsia="Google Sans" w:hAnsi="Google Sans"/>
          <w:color w:val="1f1f1f"/>
          <w:rtl w:val="0"/>
        </w:rPr>
        <w:t xml:space="preserve">A decision to pause a broad launch into the ₹30,000–₹50,000 segment until component costs, market demand, and the differentiation case are more favorable.</w:t>
      </w:r>
      <w:r w:rsidDel="00000000" w:rsidR="00000000" w:rsidRPr="00000000">
        <w:rPr>
          <w:rtl w:val="0"/>
        </w:rPr>
      </w:r>
    </w:p>
    <w:p w:rsidR="00000000" w:rsidDel="00000000" w:rsidP="00000000" w:rsidRDefault="00000000" w:rsidRPr="00000000" w14:paraId="0000004E">
      <w:pPr>
        <w:numPr>
          <w:ilvl w:val="1"/>
          <w:numId w:val="9"/>
        </w:numPr>
        <w:spacing w:line="274.99199999999996" w:lineRule="auto"/>
        <w:ind w:left="870" w:hanging="360"/>
        <w:jc w:val="both"/>
      </w:pPr>
      <w:r w:rsidDel="00000000" w:rsidR="00000000" w:rsidRPr="00000000">
        <w:rPr>
          <w:rFonts w:ascii="Google Sans" w:cs="Google Sans" w:eastAsia="Google Sans" w:hAnsi="Google Sans"/>
          <w:color w:val="1f1f1f"/>
          <w:rtl w:val="0"/>
        </w:rPr>
        <w:t xml:space="preserve">A decision to run a limited validation programme before a national launch. This could test the product concept, willingness to switch, pricing, financing, retail partnership model, service capability, and local supply-chain economics.</w:t>
      </w:r>
      <w:r w:rsidDel="00000000" w:rsidR="00000000" w:rsidRPr="00000000">
        <w:rPr>
          <w:rtl w:val="0"/>
        </w:rPr>
      </w:r>
    </w:p>
    <w:p w:rsidR="00000000" w:rsidDel="00000000" w:rsidP="00000000" w:rsidRDefault="00000000" w:rsidRPr="00000000" w14:paraId="0000004F">
      <w:pPr>
        <w:numPr>
          <w:ilvl w:val="0"/>
          <w:numId w:val="9"/>
        </w:numPr>
        <w:spacing w:line="274.99199999999996" w:lineRule="auto"/>
        <w:ind w:left="465" w:hanging="360"/>
        <w:jc w:val="both"/>
      </w:pPr>
      <w:r w:rsidDel="00000000" w:rsidR="00000000" w:rsidRPr="00000000">
        <w:rPr>
          <w:rFonts w:ascii="Google Sans" w:cs="Google Sans" w:eastAsia="Google Sans" w:hAnsi="Google Sans"/>
          <w:b w:val="1"/>
          <w:bCs w:val="1"/>
          <w:color w:val="1f1f1f"/>
          <w:rtl w:val="0"/>
        </w:rPr>
        <w:t xml:space="preserve">What should </w:t>
      </w:r>
      <w:r w:rsidDel="00000000" w:rsidR="00000000" w:rsidRPr="00000000">
        <w:rPr>
          <w:rFonts w:ascii="Google Sans" w:cs="Google Sans" w:eastAsia="Google Sans" w:hAnsi="Google Sans"/>
          <w:b w:val="1"/>
          <w:bCs w:val="1"/>
          <w:i w:val="1"/>
          <w:iCs w:val="1"/>
          <w:color w:val="1f1f1f"/>
          <w:rtl w:val="0"/>
        </w:rPr>
        <w:t xml:space="preserve">not</w:t>
      </w:r>
      <w:r w:rsidDel="00000000" w:rsidR="00000000" w:rsidRPr="00000000">
        <w:rPr>
          <w:rFonts w:ascii="Google Sans" w:cs="Google Sans" w:eastAsia="Google Sans" w:hAnsi="Google Sans"/>
          <w:b w:val="1"/>
          <w:bCs w:val="1"/>
          <w:color w:val="1f1f1f"/>
          <w:rtl w:val="0"/>
        </w:rPr>
        <w:t xml:space="preserve"> be concluded from this research?</w:t>
      </w:r>
      <w:r w:rsidDel="00000000" w:rsidR="00000000" w:rsidRPr="00000000">
        <w:rPr>
          <w:rtl w:val="0"/>
        </w:rPr>
      </w:r>
    </w:p>
    <w:p w:rsidR="00000000" w:rsidDel="00000000" w:rsidP="00000000" w:rsidRDefault="00000000" w:rsidRPr="00000000" w14:paraId="00000050">
      <w:pPr>
        <w:numPr>
          <w:ilvl w:val="1"/>
          <w:numId w:val="9"/>
        </w:numPr>
        <w:spacing w:line="274.99199999999996" w:lineRule="auto"/>
        <w:ind w:left="870" w:hanging="360"/>
        <w:jc w:val="both"/>
      </w:pPr>
      <w:r w:rsidDel="00000000" w:rsidR="00000000" w:rsidRPr="00000000">
        <w:rPr>
          <w:rFonts w:ascii="Google Sans" w:cs="Google Sans" w:eastAsia="Google Sans" w:hAnsi="Google Sans"/>
          <w:color w:val="1f1f1f"/>
          <w:rtl w:val="0"/>
        </w:rPr>
        <w:t xml:space="preserve">The research does not prove that no new brand can succeed in India’s mid-premium smartphone market.</w:t>
      </w:r>
      <w:r w:rsidDel="00000000" w:rsidR="00000000" w:rsidRPr="00000000">
        <w:rPr>
          <w:rtl w:val="0"/>
        </w:rPr>
      </w:r>
    </w:p>
    <w:p w:rsidR="00000000" w:rsidDel="00000000" w:rsidP="00000000" w:rsidRDefault="00000000" w:rsidRPr="00000000" w14:paraId="00000051">
      <w:pPr>
        <w:numPr>
          <w:ilvl w:val="1"/>
          <w:numId w:val="9"/>
        </w:numPr>
        <w:spacing w:line="274.99199999999996" w:lineRule="auto"/>
        <w:ind w:left="870" w:hanging="360"/>
        <w:jc w:val="both"/>
      </w:pPr>
      <w:r w:rsidDel="00000000" w:rsidR="00000000" w:rsidRPr="00000000">
        <w:rPr>
          <w:rFonts w:ascii="Google Sans" w:cs="Google Sans" w:eastAsia="Google Sans" w:hAnsi="Google Sans"/>
          <w:color w:val="1f1f1f"/>
          <w:rtl w:val="0"/>
        </w:rPr>
        <w:t xml:space="preserve">The research does not establish a sales forecast, product-level profitability estimate, or exact market share outcome for a proposed device. Those decisions would require direct customer research, financial modelling, supplier quotations, and channel validation.</w:t>
      </w:r>
      <w:r w:rsidDel="00000000" w:rsidR="00000000" w:rsidRPr="00000000">
        <w:rPr>
          <w:rtl w:val="0"/>
        </w:rPr>
      </w:r>
    </w:p>
    <w:p w:rsidR="00000000" w:rsidDel="00000000" w:rsidP="00000000" w:rsidRDefault="00000000" w:rsidRPr="00000000" w14:paraId="00000052">
      <w:pPr>
        <w:pStyle w:val="Heading2"/>
        <w:spacing w:after="120" w:before="120" w:line="275" w:lineRule="auto"/>
        <w:jc w:val="both"/>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9. Summary for Leadership</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240" w:line="275" w:lineRule="auto"/>
        <w:jc w:val="both"/>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Executive Summary:</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240" w:line="275" w:lineRule="auto"/>
        <w:ind w:right="600"/>
        <w:jc w:val="both"/>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India’s ₹30,000–₹50,000 smartphone segment is attractive on the surface because premium devices are gaining a larger share of the market, but the current conditions do not support a broad new-brand launch. The wider smartphone market is weakening, while higher prices may partly reflect rising component costs rather than stronger willingness to pay. Samsung, Vivo, OPPO, Apple, and other established brands already have strong market positions, distribution access, and brand trust. The product dataset also shows that many commonly advertised features are already widespread, so a new entrant cannot rely on standard specifications alone. The recommended action is to pause a full-scale launch and first validate a differentiated proposition, local cost structure, retail and service model, and customer willingness to switch. Overall confidence is medium because the market-level warning signs are well supported, but brand-specific profitability and demand remain untested.</w:t>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240" w:line="275" w:lineRule="auto"/>
        <w:ind w:left="480" w:right="600" w:firstLine="0"/>
        <w:jc w:val="both"/>
        <w:rPr>
          <w:rFonts w:ascii="Google Sans" w:cs="Google Sans" w:eastAsia="Google Sans" w:hAnsi="Google Sans"/>
          <w:color w:val="1f1f1f"/>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o"/>
      <w:lvlJc w:val="left"/>
      <w:pPr>
        <w:ind w:left="465" w:hanging="360"/>
      </w:pPr>
      <w:rPr>
        <w:rFonts w:ascii="Courier New" w:cs="Courier New" w:eastAsia="Courier New" w:hAnsi="Courier New"/>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oogle Sans" w:cs="Google Sans" w:eastAsia="Google Sans" w:hAnsi="Google Sans"/>
        <w:color w:val="1f1f1f"/>
        <w:sz w:val="22"/>
        <w:szCs w:val="22"/>
        <w:lang w:val="en"/>
      </w:rPr>
    </w:rPrDefault>
    <w:pPrDefault>
      <w:pPr>
        <w:widowControl w:val="0"/>
        <w:spacing w:line="274.9919999999999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top w:space="0" w:sz="0" w:val="nil"/>
        <w:left w:space="0" w:sz="0" w:val="nil"/>
        <w:bottom w:space="0" w:sz="0" w:val="nil"/>
        <w:right w:space="0" w:sz="0" w:val="nil"/>
        <w:between w:space="0" w:sz="0" w:val="nil"/>
      </w:pBdr>
      <w:spacing w:after="120" w:before="120" w:line="274.99199999999996" w:lineRule="auto"/>
      <w:ind w:left="0" w:right="0" w:firstLine="0"/>
      <w:jc w:val="both"/>
    </w:pPr>
    <w:rPr>
      <w:rFonts w:ascii="Google Sans" w:cs="Google Sans" w:eastAsia="Google Sans" w:hAnsi="Google Sans"/>
      <w:b w:val="1"/>
      <w:bCs w:val="1"/>
      <w:i w:val="0"/>
      <w:iCs w:val="0"/>
      <w:smallCaps w:val="0"/>
      <w:strike w:val="0"/>
      <w:color w:val="1f1f1f"/>
      <w:sz w:val="48"/>
      <w:szCs w:val="48"/>
      <w:u w:val="none"/>
      <w:vertAlign w:val="baseline"/>
    </w:rPr>
  </w:style>
  <w:style w:type="paragraph" w:styleId="Heading2">
    <w:name w:val="heading 2"/>
    <w:basedOn w:val="Normal"/>
    <w:next w:val="Normal"/>
    <w:pPr>
      <w:pageBreakBefore w:val="0"/>
      <w:spacing w:after="80" w:before="360" w:line="274.99199999999996" w:lineRule="auto"/>
      <w:ind w:left="0" w:right="0" w:firstLine="0"/>
      <w:jc w:val="both"/>
    </w:pPr>
    <w:rPr>
      <w:rFonts w:ascii="Google Sans" w:cs="Google Sans" w:eastAsia="Google Sans" w:hAnsi="Google Sans"/>
      <w:b w:val="1"/>
      <w:bCs w:val="1"/>
      <w:i w:val="0"/>
      <w:iCs w:val="0"/>
      <w:smallCaps w:val="0"/>
      <w:strike w:val="0"/>
      <w:color w:val="1f1f1f"/>
      <w:sz w:val="24"/>
      <w:szCs w:val="24"/>
      <w:u w:val="none"/>
      <w:vertAlign w:val="baseline"/>
    </w:rPr>
  </w:style>
  <w:style w:type="paragraph" w:styleId="Heading3">
    <w:name w:val="heading 3"/>
    <w:basedOn w:val="Normal"/>
    <w:next w:val="Normal"/>
    <w:pPr>
      <w:pageBreakBefore w:val="0"/>
      <w:pBdr>
        <w:top w:space="0" w:sz="0" w:val="nil"/>
        <w:left w:space="0" w:sz="0" w:val="nil"/>
        <w:bottom w:space="0" w:sz="0" w:val="nil"/>
        <w:right w:space="0" w:sz="0" w:val="nil"/>
        <w:between w:space="0" w:sz="0" w:val="nil"/>
      </w:pBdr>
      <w:spacing w:after="120" w:before="120" w:line="274.99199999999996" w:lineRule="auto"/>
      <w:ind w:left="0" w:right="0" w:firstLine="0"/>
      <w:jc w:val="both"/>
    </w:pPr>
    <w:rPr>
      <w:rFonts w:ascii="Google Sans" w:cs="Google Sans" w:eastAsia="Google Sans" w:hAnsi="Google Sans"/>
      <w:b w:val="1"/>
      <w:bCs w:val="1"/>
      <w:i w:val="0"/>
      <w:iCs w:val="0"/>
      <w:smallCaps w:val="0"/>
      <w:strike w:val="0"/>
      <w:color w:val="1f1f1f"/>
      <w:sz w:val="24"/>
      <w:szCs w:val="24"/>
      <w:u w:val="none"/>
      <w:vertAlign w:val="baseline"/>
    </w:rPr>
  </w:style>
  <w:style w:type="paragraph" w:styleId="Heading4">
    <w:name w:val="heading 4"/>
    <w:basedOn w:val="Normal"/>
    <w:next w:val="Normal"/>
    <w:pPr>
      <w:pageBreakBefore w:val="0"/>
      <w:pBdr>
        <w:top w:space="0" w:sz="0" w:val="nil"/>
        <w:left w:space="0" w:sz="0" w:val="nil"/>
        <w:bottom w:space="0" w:sz="0" w:val="nil"/>
        <w:right w:space="0" w:sz="0" w:val="nil"/>
        <w:between w:space="0" w:sz="0" w:val="nil"/>
      </w:pBdr>
      <w:spacing w:after="255" w:before="255" w:line="240" w:lineRule="auto"/>
      <w:ind w:left="0" w:right="0" w:firstLine="0"/>
      <w:jc w:val="left"/>
    </w:pPr>
    <w:rPr>
      <w:rFonts w:ascii="Google Sans" w:cs="Google Sans" w:eastAsia="Google Sans" w:hAnsi="Google Sans"/>
      <w:b w:val="1"/>
      <w:bCs w:val="1"/>
      <w:i w:val="0"/>
      <w:iCs w:val="0"/>
      <w:smallCaps w:val="0"/>
      <w:strike w:val="0"/>
      <w:color w:val="1f1f1f"/>
      <w:sz w:val="24"/>
      <w:szCs w:val="24"/>
      <w:u w:val="none"/>
      <w:vertAlign w:val="baseline"/>
    </w:rPr>
  </w:style>
  <w:style w:type="paragraph" w:styleId="Heading5">
    <w:name w:val="heading 5"/>
    <w:basedOn w:val="Normal"/>
    <w:next w:val="Normal"/>
    <w:pPr>
      <w:pageBreakBefore w:val="0"/>
      <w:pBdr>
        <w:top w:space="0" w:sz="0" w:val="nil"/>
        <w:left w:space="0" w:sz="0" w:val="nil"/>
        <w:bottom w:space="0" w:sz="0" w:val="nil"/>
        <w:right w:space="0" w:sz="0" w:val="nil"/>
        <w:between w:space="0" w:sz="0" w:val="nil"/>
      </w:pBdr>
      <w:spacing w:after="255" w:before="255" w:line="240" w:lineRule="auto"/>
      <w:ind w:left="0" w:right="0" w:firstLine="0"/>
      <w:jc w:val="left"/>
    </w:pPr>
    <w:rPr>
      <w:rFonts w:ascii="Google Sans" w:cs="Google Sans" w:eastAsia="Google Sans" w:hAnsi="Google Sans"/>
      <w:b w:val="1"/>
      <w:bCs w:val="1"/>
      <w:i w:val="0"/>
      <w:iCs w:val="0"/>
      <w:smallCaps w:val="0"/>
      <w:strike w:val="0"/>
      <w:color w:val="1f1f1f"/>
      <w:sz w:val="18"/>
      <w:szCs w:val="18"/>
      <w:u w:val="none"/>
      <w:vertAlign w:val="baseline"/>
    </w:rPr>
  </w:style>
  <w:style w:type="paragraph" w:styleId="Heading6">
    <w:name w:val="heading 6"/>
    <w:basedOn w:val="Normal"/>
    <w:next w:val="Normal"/>
    <w:pPr>
      <w:pageBreakBefore w:val="0"/>
      <w:pBdr>
        <w:top w:space="0" w:sz="0" w:val="nil"/>
        <w:left w:space="0" w:sz="0" w:val="nil"/>
        <w:bottom w:space="0" w:sz="0" w:val="nil"/>
        <w:right w:space="0" w:sz="0" w:val="nil"/>
        <w:between w:space="0" w:sz="0" w:val="nil"/>
      </w:pBdr>
      <w:spacing w:after="360" w:before="360" w:line="240" w:lineRule="auto"/>
      <w:ind w:left="0" w:right="0" w:firstLine="0"/>
      <w:jc w:val="left"/>
    </w:pPr>
    <w:rPr>
      <w:rFonts w:ascii="Google Sans" w:cs="Google Sans" w:eastAsia="Google Sans" w:hAnsi="Google Sans"/>
      <w:b w:val="1"/>
      <w:bCs w:val="1"/>
      <w:i w:val="0"/>
      <w:iCs w:val="0"/>
      <w:smallCaps w:val="0"/>
      <w:strike w:val="0"/>
      <w:color w:val="1f1f1f"/>
      <w:sz w:val="16"/>
      <w:szCs w:val="16"/>
      <w:u w:val="none"/>
      <w:vertAlign w:val="baseline"/>
    </w:rPr>
  </w:style>
  <w:style w:type="paragraph" w:styleId="Title">
    <w:name w:val="Title"/>
    <w:basedOn w:val="Normal"/>
    <w:next w:val="Normal"/>
    <w:pPr>
      <w:keepNext w:val="1"/>
      <w:keepLines w:val="1"/>
      <w:pageBreakBefore w:val="0"/>
      <w:spacing w:after="120" w:before="480" w:line="240" w:lineRule="auto"/>
      <w:ind w:left="0" w:right="0" w:firstLine="0"/>
      <w:jc w:val="left"/>
    </w:pPr>
    <w:rPr>
      <w:rFonts w:ascii="Google Sans" w:cs="Google Sans" w:eastAsia="Google Sans" w:hAnsi="Google Sans"/>
      <w:b w:val="1"/>
      <w:bCs w:val="1"/>
      <w:i w:val="0"/>
      <w:iCs w:val="0"/>
      <w:smallCaps w:val="0"/>
      <w:strike w:val="0"/>
      <w:color w:val="1f1f1f"/>
      <w:sz w:val="72"/>
      <w:szCs w:val="72"/>
      <w:u w:val="none"/>
      <w:vertAlign w:val="baseline"/>
    </w:rPr>
  </w:style>
  <w:style w:type="paragraph" w:styleId="Subtitle">
    <w:name w:val="Subtitle"/>
    <w:basedOn w:val="Normal"/>
    <w:next w:val="Normal"/>
    <w:pPr>
      <w:keepNext w:val="1"/>
      <w:keepLines w:val="1"/>
      <w:pageBreakBefore w:val="0"/>
      <w:spacing w:after="80" w:before="360" w:line="240" w:lineRule="auto"/>
      <w:ind w:left="0" w:right="0" w:firstLine="0"/>
      <w:jc w:val="left"/>
    </w:pPr>
    <w:rPr>
      <w:rFonts w:ascii="Google Sans" w:cs="Google Sans" w:eastAsia="Google Sans" w:hAnsi="Google Sans"/>
      <w:b w:val="0"/>
      <w:bCs w:val="0"/>
      <w:i w:val="1"/>
      <w:iCs w:val="1"/>
      <w:smallCaps w:val="0"/>
      <w:strike w:val="0"/>
      <w:color w:val="666666"/>
      <w:sz w:val="48"/>
      <w:szCs w:val="48"/>
      <w:u w:val="none"/>
      <w:vertAlign w:val="baselin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