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TERM PAPER ABSTRACT</w:t>
      </w:r>
    </w:p>
    <w:p>
      <w:pPr>
        <w:jc w:val="center"/>
      </w:pPr>
      <w:r>
        <w:rPr>
          <w:b/>
          <w:sz w:val="24"/>
        </w:rPr>
        <w:t>Reproducing and Evaluating Finite-Difference Error Estimation in Physics-Informed Neural Networks</w:t>
      </w:r>
    </w:p>
    <w:p>
      <w:r>
        <w:t>Physics-informed neural networks (PINNs) approximate solutions of differential equations by incorporating governing equations into a neural-network training objective. However, a small training loss does not necessarily reveal where a prediction is inaccurate. This project aims to reproduce a published finite-difference-based, post-hoc method that estimates spatial error in PINN predictions by solving an error equation driven by the network's partial differential equation residual. We will begin with a benchmark problem for which an analytical solution is available, implement the reference workflow, and quantitatively compare estimated error with the true prediction error. We will examine the effects of numerical-grid resolution and, subject to successful reproduction of the baseline, compare hard and soft enforcement of boundary conditions. Evaluation will use error metrics, error-map visualizations, and repeated runs where computationally feasible. The goal is a reproducible numerical study of the method's accuracy and limitations, rather than a claim of a certified error bound or a wholly new estimator.</w:t>
      </w:r>
    </w:p>
    <w:p>
      <w:r>
        <w:rPr>
          <w:b/>
        </w:rPr>
        <w:t xml:space="preserve">Keywords: </w:t>
      </w:r>
      <w:r>
        <w:t>Physics-informed neural networks; finite difference methods; error estimation; boundary conditions; numerical analysis.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