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Pallet Dynamics IT Security Policy (IT-SEC-002)</w:t>
      </w:r>
    </w:p>
    <w:p>
      <w:r>
        <w:t>This policy protects company systems and data. Violations may lead to disciplinary action.</w:t>
      </w:r>
    </w:p>
    <w:p>
      <w:pPr>
        <w:pStyle w:val="Heading2"/>
      </w:pPr>
      <w:r>
        <w:t>Passwords and Authentication</w:t>
      </w:r>
    </w:p>
    <w:p>
      <w:r>
        <w:t>Passwords must be at least 14 characters long and must not be reused across systems. Multi-factor authentication (MFA) is mandatory for email, VPN and all production systems. Use the company password manager to store credentials.</w:t>
      </w:r>
    </w:p>
    <w:p>
      <w:pPr>
        <w:pStyle w:val="Heading2"/>
      </w:pPr>
      <w:r>
        <w:t>Devices</w:t>
      </w:r>
    </w:p>
    <w:p>
      <w:r>
        <w:t>All company laptops use full-disk encryption and must lock automatically after 5 minutes of inactivity. USB mass-storage devices are blocked on company laptops. Lost or stolen devices must be reported to IT within 24 hours.</w:t>
      </w:r>
    </w:p>
    <w:p>
      <w:pPr>
        <w:pStyle w:val="Heading2"/>
      </w:pPr>
      <w:r>
        <w:t>Remote Access</w:t>
      </w:r>
    </w:p>
    <w:p>
      <w:r>
        <w:t>Company systems may only be accessed remotely through the corporate VPN. Public Wi-Fi may be used only with the VPN connected.</w:t>
      </w:r>
    </w:p>
    <w:p>
      <w:pPr>
        <w:pStyle w:val="Heading2"/>
      </w:pPr>
      <w:r>
        <w:t>Phishing and Incident Reporting</w:t>
      </w:r>
    </w:p>
    <w:p>
      <w:r>
        <w:t>Report suspected phishing emails using the Report Phishing button or by forwarding them to security@palletdynamics.example within 1 hour of noticing them. Never share passwords or MFA codes; IT will never ask for them.</w:t>
      </w:r>
    </w:p>
    <w:p>
      <w:r>
        <w:t>Security incidents are classified by priority. P1 incidents (active breach, ransomware, data leak) must be responded to within 1 hour and resolved or contained within 4 hours. P2 incidents must be responded to within 4 hours. P3 requests are handled within 3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