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D72C" w14:textId="77777777" w:rsidR="001C7F9A" w:rsidRDefault="001C7F9A">
      <w:pPr>
        <w:spacing w:before="2400"/>
      </w:pPr>
    </w:p>
    <w:p w14:paraId="04955707" w14:textId="77777777" w:rsidR="001C7F9A" w:rsidRDefault="00000000">
      <w:pPr>
        <w:jc w:val="center"/>
      </w:pPr>
      <w:r>
        <w:rPr>
          <w:b/>
          <w:bCs/>
          <w:color w:val="1F4E79"/>
          <w:sz w:val="56"/>
          <w:szCs w:val="56"/>
        </w:rPr>
        <w:t>BLUESTOCK</w:t>
      </w:r>
    </w:p>
    <w:p w14:paraId="7038692D" w14:textId="77777777" w:rsidR="001C7F9A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MUTUAL FUND ANALYTICS</w:t>
      </w:r>
    </w:p>
    <w:p w14:paraId="3F27E80C" w14:textId="77777777" w:rsidR="001C7F9A" w:rsidRDefault="00000000">
      <w:pPr>
        <w:pBdr>
          <w:bottom w:val="single" w:sz="12" w:space="8" w:color="2E75B6"/>
        </w:pBdr>
        <w:spacing w:after="240"/>
        <w:jc w:val="center"/>
      </w:pPr>
      <w:r>
        <w:rPr>
          <w:b/>
          <w:bCs/>
          <w:color w:val="2E75B6"/>
          <w:sz w:val="36"/>
          <w:szCs w:val="36"/>
        </w:rPr>
        <w:t>CAPSTONE PROJECT</w:t>
      </w:r>
    </w:p>
    <w:p w14:paraId="78FDE235" w14:textId="77777777" w:rsidR="001C7F9A" w:rsidRDefault="00000000">
      <w:pPr>
        <w:spacing w:after="1600"/>
        <w:jc w:val="center"/>
      </w:pPr>
      <w:r>
        <w:rPr>
          <w:i/>
          <w:iCs/>
          <w:color w:val="595959"/>
          <w:sz w:val="24"/>
          <w:szCs w:val="24"/>
        </w:rPr>
        <w:t>An End-to-End Data Analytics Pipeline for the Mutual Fund Industry</w:t>
      </w:r>
    </w:p>
    <w:p w14:paraId="3EDC00E4" w14:textId="77777777" w:rsidR="001C7F9A" w:rsidRDefault="00000000">
      <w:pPr>
        <w:spacing w:after="80"/>
        <w:jc w:val="center"/>
      </w:pPr>
      <w:r>
        <w:rPr>
          <w:color w:val="595959"/>
        </w:rPr>
        <w:t>Submitted By</w:t>
      </w:r>
    </w:p>
    <w:p w14:paraId="191B0B90" w14:textId="77777777" w:rsidR="001C7F9A" w:rsidRDefault="00000000">
      <w:pPr>
        <w:spacing w:after="480"/>
        <w:jc w:val="center"/>
      </w:pPr>
      <w:r>
        <w:rPr>
          <w:b/>
          <w:bCs/>
          <w:sz w:val="30"/>
          <w:szCs w:val="30"/>
        </w:rPr>
        <w:t>Harsh Gupta</w:t>
      </w:r>
    </w:p>
    <w:p w14:paraId="3D9759E5" w14:textId="77777777" w:rsidR="001C7F9A" w:rsidRDefault="00000000">
      <w:pPr>
        <w:spacing w:after="80"/>
        <w:jc w:val="center"/>
      </w:pPr>
      <w:r>
        <w:rPr>
          <w:color w:val="595959"/>
        </w:rPr>
        <w:t>Technologies Used</w:t>
      </w:r>
    </w:p>
    <w:p w14:paraId="72608413" w14:textId="77777777" w:rsidR="001C7F9A" w:rsidRDefault="00000000">
      <w:pPr>
        <w:spacing w:after="480"/>
        <w:jc w:val="center"/>
      </w:pPr>
      <w:r>
        <w:rPr>
          <w:b/>
          <w:bCs/>
          <w:color w:val="2E75B6"/>
          <w:sz w:val="24"/>
          <w:szCs w:val="24"/>
        </w:rPr>
        <w:t>Python   •   Pandas   •   SQLite   •   SQL   •   Power BI   •   GitHub</w:t>
      </w:r>
    </w:p>
    <w:p w14:paraId="7BB7BD97" w14:textId="77777777" w:rsidR="001C7F9A" w:rsidRDefault="00000000">
      <w:pPr>
        <w:jc w:val="center"/>
      </w:pPr>
      <w:r>
        <w:rPr>
          <w:color w:val="595959"/>
        </w:rPr>
        <w:t>June 2026</w:t>
      </w:r>
    </w:p>
    <w:p w14:paraId="52F15140" w14:textId="77777777" w:rsidR="001C7F9A" w:rsidRDefault="00000000">
      <w:pPr>
        <w:pageBreakBefore/>
        <w:spacing w:after="20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sdt>
      <w:sdtPr>
        <w:alias w:val="Table of Contents"/>
        <w:id w:val="537481783"/>
      </w:sdtPr>
      <w:sdtContent>
        <w:p w14:paraId="0EC6E6C9" w14:textId="77777777" w:rsidR="0086071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318249" w:history="1">
            <w:r w:rsidR="0086071A" w:rsidRPr="00F3356B">
              <w:rPr>
                <w:rStyle w:val="Hyperlink"/>
                <w:noProof/>
              </w:rPr>
              <w:t>Abstract</w:t>
            </w:r>
            <w:r w:rsidR="0086071A">
              <w:rPr>
                <w:noProof/>
              </w:rPr>
              <w:tab/>
            </w:r>
            <w:r w:rsidR="0086071A">
              <w:rPr>
                <w:noProof/>
              </w:rPr>
              <w:fldChar w:fldCharType="begin"/>
            </w:r>
            <w:r w:rsidR="0086071A">
              <w:rPr>
                <w:noProof/>
              </w:rPr>
              <w:instrText xml:space="preserve"> PAGEREF _Toc232318249 \h </w:instrText>
            </w:r>
            <w:r w:rsidR="0086071A">
              <w:rPr>
                <w:noProof/>
              </w:rPr>
            </w:r>
            <w:r w:rsidR="0086071A">
              <w:rPr>
                <w:noProof/>
              </w:rPr>
              <w:fldChar w:fldCharType="separate"/>
            </w:r>
            <w:r w:rsidR="0086071A">
              <w:rPr>
                <w:noProof/>
              </w:rPr>
              <w:t>3</w:t>
            </w:r>
            <w:r w:rsidR="0086071A">
              <w:rPr>
                <w:noProof/>
              </w:rPr>
              <w:fldChar w:fldCharType="end"/>
            </w:r>
          </w:hyperlink>
        </w:p>
        <w:p w14:paraId="7F905B06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0" w:history="1">
            <w:r w:rsidRPr="00F3356B">
              <w:rPr>
                <w:rStyle w:val="Hyperlink"/>
                <w:noProof/>
              </w:rPr>
              <w:t>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00E33F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1" w:history="1">
            <w:r w:rsidRPr="00F3356B">
              <w:rPr>
                <w:rStyle w:val="Hyperlink"/>
                <w:noProof/>
              </w:rPr>
              <w:t>Dataset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1AE1A6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2" w:history="1">
            <w:r w:rsidRPr="00F3356B">
              <w:rPr>
                <w:rStyle w:val="Hyperlink"/>
                <w:noProof/>
              </w:rPr>
              <w:t>Project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4F5727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3" w:history="1">
            <w:r w:rsidRPr="00F3356B">
              <w:rPr>
                <w:rStyle w:val="Hyperlink"/>
                <w:noProof/>
              </w:rPr>
              <w:t>Data Cleaning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DCF2F56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4" w:history="1">
            <w:r w:rsidRPr="00F3356B">
              <w:rPr>
                <w:rStyle w:val="Hyperlink"/>
                <w:noProof/>
              </w:rPr>
              <w:t>Exploratory Data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57CA9D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5" w:history="1">
            <w:r w:rsidRPr="00F3356B">
              <w:rPr>
                <w:rStyle w:val="Hyperlink"/>
                <w:noProof/>
              </w:rPr>
              <w:t>Performance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04B0BE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6" w:history="1">
            <w:r w:rsidRPr="00F3356B">
              <w:rPr>
                <w:rStyle w:val="Hyperlink"/>
                <w:noProof/>
              </w:rPr>
              <w:t>Advanced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FD3C58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7" w:history="1">
            <w:r w:rsidRPr="00F3356B">
              <w:rPr>
                <w:rStyle w:val="Hyperlink"/>
                <w:noProof/>
              </w:rPr>
              <w:t>Power BI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00D535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8" w:history="1">
            <w:r w:rsidRPr="00F3356B">
              <w:rPr>
                <w:rStyle w:val="Hyperlink"/>
                <w:noProof/>
              </w:rPr>
              <w:t>Key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0038E9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59" w:history="1">
            <w:r w:rsidRPr="00F3356B">
              <w:rPr>
                <w:rStyle w:val="Hyperlink"/>
                <w:noProof/>
              </w:rPr>
              <w:t>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993F06D" w14:textId="77777777" w:rsidR="0086071A" w:rsidRDefault="008607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318260" w:history="1">
            <w:r w:rsidRPr="00F3356B">
              <w:rPr>
                <w:rStyle w:val="Hyperlink"/>
                <w:noProof/>
              </w:rPr>
              <w:t>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_Toc232318260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7B5EC2" w14:textId="77777777" w:rsidR="001C7F9A" w:rsidRDefault="00000000">
          <w:r>
            <w:fldChar w:fldCharType="end"/>
          </w:r>
        </w:p>
      </w:sdtContent>
    </w:sdt>
    <w:p w14:paraId="46EF3E86" w14:textId="77777777" w:rsidR="001C7F9A" w:rsidRDefault="00000000">
      <w:pPr>
        <w:spacing w:before="200"/>
      </w:pPr>
      <w:r>
        <w:rPr>
          <w:i/>
          <w:iCs/>
          <w:color w:val="595959"/>
          <w:sz w:val="18"/>
          <w:szCs w:val="18"/>
        </w:rPr>
        <w:t>Note: Right-click the table above and select “Update Field” in Microsoft Word to populate the page numbers.</w:t>
      </w:r>
    </w:p>
    <w:p w14:paraId="633E72DE" w14:textId="77777777" w:rsidR="001C7F9A" w:rsidRDefault="00000000">
      <w:pPr>
        <w:pStyle w:val="Heading1"/>
        <w:pageBreakBefore/>
      </w:pPr>
      <w:bookmarkStart w:id="0" w:name="_Toc232318249"/>
      <w:r>
        <w:lastRenderedPageBreak/>
        <w:t>Abstract</w:t>
      </w:r>
      <w:bookmarkEnd w:id="0"/>
    </w:p>
    <w:p w14:paraId="6DC9A6D5" w14:textId="77777777" w:rsidR="001C7F9A" w:rsidRDefault="00000000">
      <w:pPr>
        <w:spacing w:after="160"/>
      </w:pPr>
      <w:r>
        <w:t>This project presents a comprehensive analysis of the mutual fund industry through a complete data analytics pipeline. The workflow spans data ingestion, data cleaning, exploratory data analysis, performance analytics, advanced analytics, and dashboard development.</w:t>
      </w:r>
    </w:p>
    <w:p w14:paraId="6C1220B4" w14:textId="77777777" w:rsidR="001C7F9A" w:rsidRDefault="00000000">
      <w:pPr>
        <w:spacing w:after="160"/>
      </w:pPr>
      <w:r>
        <w:t>The primary objective is to transform raw mutual fund data into actionable insights that support a deeper understanding of investment trends, fund performance, and overall market behaviour, ultimately enabling more informed, data-driven decision making for investors and stakeholders.</w:t>
      </w:r>
    </w:p>
    <w:p w14:paraId="0E7D85D1" w14:textId="77777777" w:rsidR="001C7F9A" w:rsidRDefault="00000000">
      <w:pPr>
        <w:pStyle w:val="Heading1"/>
        <w:pageBreakBefore/>
      </w:pPr>
      <w:bookmarkStart w:id="1" w:name="_Toc232318250"/>
      <w:r>
        <w:lastRenderedPageBreak/>
        <w:t>Project Objectives</w:t>
      </w:r>
      <w:bookmarkEnd w:id="1"/>
    </w:p>
    <w:p w14:paraId="0083501D" w14:textId="77777777" w:rsidR="001C7F9A" w:rsidRDefault="00000000">
      <w:pPr>
        <w:spacing w:after="160"/>
      </w:pPr>
      <w:r>
        <w:t>The key objectives defined for this capstone project are as follows:</w:t>
      </w:r>
    </w:p>
    <w:p w14:paraId="48A509F4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Build an end-to-end ETL (Extract, Transform, Load) pipeline for mutual fund data.</w:t>
      </w:r>
    </w:p>
    <w:p w14:paraId="7E7BAFED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Clean and validate the underlying datasets to ensure data quality and consistency.</w:t>
      </w:r>
    </w:p>
    <w:p w14:paraId="6A191E0B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Perform Exploratory Data Analysis (EDA) to uncover patterns and trends.</w:t>
      </w:r>
    </w:p>
    <w:p w14:paraId="60A26B14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Calculate key fund performance metrics for risk and return assessment.</w:t>
      </w:r>
    </w:p>
    <w:p w14:paraId="51F2CB5C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Conduct advanced analytics to derive deeper, actionable insights.</w:t>
      </w:r>
    </w:p>
    <w:p w14:paraId="6A70743E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Build an interactive Power BI dashboard for stakeholder reporting.</w:t>
      </w:r>
    </w:p>
    <w:p w14:paraId="772856F8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Generate clear business insights to support investor decision-making.</w:t>
      </w:r>
    </w:p>
    <w:p w14:paraId="619D703D" w14:textId="77777777" w:rsidR="001C7F9A" w:rsidRDefault="00000000">
      <w:pPr>
        <w:pStyle w:val="Heading1"/>
        <w:pageBreakBefore/>
      </w:pPr>
      <w:bookmarkStart w:id="2" w:name="_Toc232318251"/>
      <w:r>
        <w:lastRenderedPageBreak/>
        <w:t>Dataset Description</w:t>
      </w:r>
      <w:bookmarkEnd w:id="2"/>
    </w:p>
    <w:p w14:paraId="6FE7AFA5" w14:textId="77777777" w:rsidR="001C7F9A" w:rsidRDefault="00000000">
      <w:pPr>
        <w:spacing w:after="160"/>
      </w:pPr>
      <w:r>
        <w:t>The analysis is built on ten interconnected datasets covering different aspects of the mutual fund industry, ranging from fund-level reference data to investor transaction records.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860"/>
      </w:tblGrid>
      <w:tr w:rsidR="001C7F9A" w14:paraId="054DD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A44D4" w14:textId="77777777" w:rsidR="001C7F9A" w:rsidRDefault="00000000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4479" w14:textId="77777777" w:rsidR="001C7F9A" w:rsidRDefault="00000000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58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8610" w14:textId="77777777" w:rsidR="001C7F9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C7F9A" w14:paraId="5F8AF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CAF3" w14:textId="77777777" w:rsidR="001C7F9A" w:rsidRDefault="00000000">
            <w:r>
              <w:t>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89A5" w14:textId="77777777" w:rsidR="001C7F9A" w:rsidRDefault="00000000">
            <w:r>
              <w:t>Fund Master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4FB6" w14:textId="77777777" w:rsidR="001C7F9A" w:rsidRDefault="00000000">
            <w:r>
              <w:t>Core reference details for each mutual fund scheme.</w:t>
            </w:r>
          </w:p>
        </w:tc>
      </w:tr>
      <w:tr w:rsidR="001C7F9A" w14:paraId="0813B6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DD35" w14:textId="77777777" w:rsidR="001C7F9A" w:rsidRDefault="00000000">
            <w:r>
              <w:t>2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2ED7" w14:textId="77777777" w:rsidR="001C7F9A" w:rsidRDefault="00000000">
            <w:r>
              <w:t>NAV History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E039" w14:textId="77777777" w:rsidR="001C7F9A" w:rsidRDefault="00000000">
            <w:r>
              <w:t>Historical Net Asset Value records used to track fund movements over time.</w:t>
            </w:r>
          </w:p>
        </w:tc>
      </w:tr>
      <w:tr w:rsidR="001C7F9A" w14:paraId="59D075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3874" w14:textId="77777777" w:rsidR="001C7F9A" w:rsidRDefault="00000000">
            <w:r>
              <w:t>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B505" w14:textId="77777777" w:rsidR="001C7F9A" w:rsidRDefault="00000000">
            <w:r>
              <w:t>AUM by Fund House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7CD3" w14:textId="77777777" w:rsidR="001C7F9A" w:rsidRDefault="00000000">
            <w:r>
              <w:t>Assets Under Management data segmented by fund house.</w:t>
            </w:r>
          </w:p>
        </w:tc>
      </w:tr>
      <w:tr w:rsidR="001C7F9A" w14:paraId="647A473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40CB" w14:textId="77777777" w:rsidR="001C7F9A" w:rsidRDefault="00000000">
            <w:r>
              <w:t>4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873C" w14:textId="77777777" w:rsidR="001C7F9A" w:rsidRDefault="00000000">
            <w:r>
              <w:t>Monthly SIP Inflows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DA52" w14:textId="77777777" w:rsidR="001C7F9A" w:rsidRDefault="00000000">
            <w:r>
              <w:t>Monthly Systematic Investment Plan contribution data.</w:t>
            </w:r>
          </w:p>
        </w:tc>
      </w:tr>
      <w:tr w:rsidR="001C7F9A" w14:paraId="04A67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EBFE" w14:textId="77777777" w:rsidR="001C7F9A" w:rsidRDefault="00000000">
            <w:r>
              <w:t>5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3A46" w14:textId="77777777" w:rsidR="001C7F9A" w:rsidRDefault="00000000">
            <w:r>
              <w:t>Category Inflows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88D1" w14:textId="77777777" w:rsidR="001C7F9A" w:rsidRDefault="00000000">
            <w:r>
              <w:t>Investment inflow data segmented by fund category.</w:t>
            </w:r>
          </w:p>
        </w:tc>
      </w:tr>
      <w:tr w:rsidR="001C7F9A" w14:paraId="558728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4906" w14:textId="77777777" w:rsidR="001C7F9A" w:rsidRDefault="00000000">
            <w:r>
              <w:t>6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D1750" w14:textId="77777777" w:rsidR="001C7F9A" w:rsidRDefault="00000000">
            <w:r>
              <w:t>Industry Folio Count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3161" w14:textId="77777777" w:rsidR="001C7F9A" w:rsidRDefault="00000000">
            <w:r>
              <w:t>Investor folio counts across the mutual fund industry.</w:t>
            </w:r>
          </w:p>
        </w:tc>
      </w:tr>
      <w:tr w:rsidR="001C7F9A" w14:paraId="4EDAAE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2D39" w14:textId="77777777" w:rsidR="001C7F9A" w:rsidRDefault="00000000">
            <w:r>
              <w:t>7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C4F7" w14:textId="77777777" w:rsidR="001C7F9A" w:rsidRDefault="00000000">
            <w:r>
              <w:t>Scheme Performance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08BA" w14:textId="77777777" w:rsidR="001C7F9A" w:rsidRDefault="00000000">
            <w:r>
              <w:t>Performance records for individual mutual fund schemes.</w:t>
            </w:r>
          </w:p>
        </w:tc>
      </w:tr>
      <w:tr w:rsidR="001C7F9A" w14:paraId="611B9A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5369" w14:textId="77777777" w:rsidR="001C7F9A" w:rsidRDefault="00000000">
            <w:r>
              <w:t>8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AB87" w14:textId="77777777" w:rsidR="001C7F9A" w:rsidRDefault="00000000">
            <w:r>
              <w:t>Investor Transactions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1F59" w14:textId="77777777" w:rsidR="001C7F9A" w:rsidRDefault="00000000">
            <w:r>
              <w:t>Transaction-level records of investor activity.</w:t>
            </w:r>
          </w:p>
        </w:tc>
      </w:tr>
      <w:tr w:rsidR="001C7F9A" w14:paraId="0BF018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CD46" w14:textId="77777777" w:rsidR="001C7F9A" w:rsidRDefault="00000000">
            <w:r>
              <w:t>9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F776" w14:textId="77777777" w:rsidR="001C7F9A" w:rsidRDefault="00000000">
            <w:r>
              <w:t>Portfolio Holdings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1540" w14:textId="77777777" w:rsidR="001C7F9A" w:rsidRDefault="00000000">
            <w:r>
              <w:t>Holdings data describing each fund's underlying portfolio.</w:t>
            </w:r>
          </w:p>
        </w:tc>
      </w:tr>
      <w:tr w:rsidR="001C7F9A" w14:paraId="2DA385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E2C7" w14:textId="77777777" w:rsidR="001C7F9A" w:rsidRDefault="00000000">
            <w:r>
              <w:t>10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B86B" w14:textId="77777777" w:rsidR="001C7F9A" w:rsidRDefault="00000000">
            <w:r>
              <w:t>Benchmark Indices</w:t>
            </w:r>
          </w:p>
        </w:tc>
        <w:tc>
          <w:tcPr>
            <w:tcW w:w="5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CFB1" w14:textId="77777777" w:rsidR="001C7F9A" w:rsidRDefault="00000000">
            <w:r>
              <w:t>Benchmark index data used for performance comparison.</w:t>
            </w:r>
          </w:p>
        </w:tc>
      </w:tr>
    </w:tbl>
    <w:p w14:paraId="75485528" w14:textId="77777777" w:rsidR="001C7F9A" w:rsidRDefault="00000000">
      <w:pPr>
        <w:spacing w:before="200" w:after="60"/>
      </w:pPr>
      <w:r>
        <w:rPr>
          <w:b/>
          <w:bCs/>
        </w:rPr>
        <w:t xml:space="preserve">Total Datasets: </w:t>
      </w:r>
      <w:r>
        <w:t>10 CSV files</w:t>
      </w:r>
    </w:p>
    <w:p w14:paraId="72F7C9ED" w14:textId="77777777" w:rsidR="001C7F9A" w:rsidRDefault="00000000">
      <w:pPr>
        <w:spacing w:after="60"/>
      </w:pPr>
      <w:r>
        <w:rPr>
          <w:b/>
          <w:bCs/>
        </w:rPr>
        <w:t xml:space="preserve">Database: </w:t>
      </w:r>
      <w:r>
        <w:t xml:space="preserve">SQLite Database – </w:t>
      </w:r>
      <w:proofErr w:type="spellStart"/>
      <w:r>
        <w:t>bluestock_mf.db</w:t>
      </w:r>
      <w:proofErr w:type="spellEnd"/>
    </w:p>
    <w:p w14:paraId="270A869B" w14:textId="77777777" w:rsidR="001C7F9A" w:rsidRDefault="00000000">
      <w:pPr>
        <w:pStyle w:val="Heading1"/>
        <w:pageBreakBefore/>
      </w:pPr>
      <w:bookmarkStart w:id="3" w:name="_Toc232318252"/>
      <w:r>
        <w:lastRenderedPageBreak/>
        <w:t>Project Architecture</w:t>
      </w:r>
      <w:bookmarkEnd w:id="3"/>
    </w:p>
    <w:p w14:paraId="59DAA560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ETL Pipeline</w:t>
      </w:r>
    </w:p>
    <w:p w14:paraId="34072F24" w14:textId="77777777" w:rsidR="001C7F9A" w:rsidRDefault="00000000">
      <w:pPr>
        <w:spacing w:after="160"/>
      </w:pPr>
      <w:r>
        <w:t>The data pipeline follows a standard Extract, Transform, Load (ETL) approach, supported by a dedicated validation stage to ensure data reliability.</w:t>
      </w:r>
    </w:p>
    <w:p w14:paraId="12A834B3" w14:textId="77777777" w:rsidR="001C7F9A" w:rsidRDefault="00000000">
      <w:pPr>
        <w:spacing w:after="60"/>
      </w:pPr>
      <w:r>
        <w:rPr>
          <w:b/>
          <w:bCs/>
        </w:rPr>
        <w:t>Extract</w:t>
      </w:r>
    </w:p>
    <w:p w14:paraId="59FA687B" w14:textId="77777777" w:rsidR="001C7F9A" w:rsidRDefault="00000000">
      <w:pPr>
        <w:spacing w:after="160"/>
      </w:pPr>
      <w:r>
        <w:t>Raw CSV files are loaded using Pandas.</w:t>
      </w:r>
    </w:p>
    <w:p w14:paraId="76870C06" w14:textId="77777777" w:rsidR="001C7F9A" w:rsidRDefault="00000000">
      <w:pPr>
        <w:spacing w:after="60"/>
      </w:pPr>
      <w:r>
        <w:rPr>
          <w:b/>
          <w:bCs/>
        </w:rPr>
        <w:t>Transform</w:t>
      </w:r>
    </w:p>
    <w:p w14:paraId="35E53E1D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Missing value handling</w:t>
      </w:r>
    </w:p>
    <w:p w14:paraId="368CA2CC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Data type conversion</w:t>
      </w:r>
    </w:p>
    <w:p w14:paraId="4C4E31CB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Duplicate removal</w:t>
      </w:r>
    </w:p>
    <w:p w14:paraId="6ED90FBC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Validation checks</w:t>
      </w:r>
    </w:p>
    <w:p w14:paraId="183D9B15" w14:textId="77777777" w:rsidR="001C7F9A" w:rsidRDefault="00000000">
      <w:pPr>
        <w:spacing w:before="100" w:after="60"/>
      </w:pPr>
      <w:r>
        <w:rPr>
          <w:b/>
          <w:bCs/>
        </w:rPr>
        <w:t>Load</w:t>
      </w:r>
    </w:p>
    <w:p w14:paraId="0E732ACE" w14:textId="77777777" w:rsidR="001C7F9A" w:rsidRDefault="00000000">
      <w:pPr>
        <w:spacing w:after="160"/>
      </w:pPr>
      <w:r>
        <w:t>Processed datasets are loaded into the SQLite database.</w:t>
      </w:r>
    </w:p>
    <w:p w14:paraId="733DE0D2" w14:textId="77777777" w:rsidR="001C7F9A" w:rsidRDefault="00000000">
      <w:pPr>
        <w:spacing w:after="60"/>
      </w:pPr>
      <w:r>
        <w:rPr>
          <w:b/>
          <w:bCs/>
        </w:rPr>
        <w:t>Validation</w:t>
      </w:r>
    </w:p>
    <w:p w14:paraId="27E6DD24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AMFI code verification</w:t>
      </w:r>
    </w:p>
    <w:p w14:paraId="5EBE6380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Missing value checks</w:t>
      </w:r>
    </w:p>
    <w:p w14:paraId="48FC12E5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Schema validation</w:t>
      </w:r>
    </w:p>
    <w:p w14:paraId="096DBC87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Supporting Screenshots</w:t>
      </w:r>
    </w:p>
    <w:p w14:paraId="1A275909" w14:textId="77777777" w:rsidR="001C7F9A" w:rsidRDefault="001C7F9A">
      <w:pPr>
        <w:spacing w:after="160"/>
      </w:pPr>
    </w:p>
    <w:tbl>
      <w:tblPr>
        <w:tblW w:w="976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7"/>
      </w:tblGrid>
      <w:tr w:rsidR="001C7F9A" w14:paraId="0440900F" w14:textId="77777777" w:rsidTr="00165869">
        <w:tblPrEx>
          <w:tblCellMar>
            <w:top w:w="0" w:type="dxa"/>
            <w:bottom w:w="0" w:type="dxa"/>
          </w:tblCellMar>
        </w:tblPrEx>
        <w:trPr>
          <w:trHeight w:val="2831"/>
        </w:trPr>
        <w:tc>
          <w:tcPr>
            <w:tcW w:w="9767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14252C01" w14:textId="294585E1" w:rsidR="00165869" w:rsidRPr="00165869" w:rsidRDefault="00165869" w:rsidP="00165869">
            <w:pPr>
              <w:jc w:val="center"/>
              <w:rPr>
                <w:i/>
                <w:iCs/>
                <w:color w:val="595959"/>
              </w:rPr>
            </w:pPr>
            <w:r w:rsidRPr="00165869">
              <w:rPr>
                <w:i/>
                <w:iCs/>
                <w:color w:val="595959"/>
              </w:rPr>
              <w:drawing>
                <wp:inline distT="0" distB="0" distL="0" distR="0" wp14:anchorId="048241DB" wp14:editId="733A93D0">
                  <wp:extent cx="3352800" cy="1546860"/>
                  <wp:effectExtent l="0" t="0" r="0" b="0"/>
                  <wp:docPr id="20643567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F7320" w14:textId="696FE3C7" w:rsidR="001C7F9A" w:rsidRDefault="001C7F9A">
            <w:pPr>
              <w:jc w:val="center"/>
            </w:pPr>
          </w:p>
        </w:tc>
      </w:tr>
    </w:tbl>
    <w:p w14:paraId="7A028793" w14:textId="77777777" w:rsidR="00165869" w:rsidRDefault="00165869">
      <w:pPr>
        <w:spacing w:after="160"/>
      </w:pPr>
    </w:p>
    <w:p w14:paraId="3BE3459F" w14:textId="6F3C5E82" w:rsidR="001C7F9A" w:rsidRDefault="00165869">
      <w:pPr>
        <w:spacing w:after="160"/>
      </w:pPr>
      <w:r w:rsidRPr="00165869">
        <w:t>The project follows a modular ETL architecture. Separate scripts were developed for validation, cleaning, loading, and pipeline execution, improving maintainability and scalability.</w:t>
      </w:r>
    </w:p>
    <w:p w14:paraId="18F2CB1E" w14:textId="77777777" w:rsidR="001C7F9A" w:rsidRDefault="00000000">
      <w:pPr>
        <w:pStyle w:val="Heading1"/>
        <w:pageBreakBefore/>
      </w:pPr>
      <w:bookmarkStart w:id="4" w:name="_Toc232318253"/>
      <w:r>
        <w:lastRenderedPageBreak/>
        <w:t>Data Cleaning Process</w:t>
      </w:r>
      <w:bookmarkEnd w:id="4"/>
    </w:p>
    <w:p w14:paraId="3566F605" w14:textId="77777777" w:rsidR="001C7F9A" w:rsidRDefault="00000000">
      <w:pPr>
        <w:spacing w:after="160"/>
      </w:pPr>
      <w:r>
        <w:t>Before analysis, all raw datasets were processed through a structured cleaning workflow to ensure accuracy, consistency, and analytical readiness.</w:t>
      </w:r>
    </w:p>
    <w:p w14:paraId="49F8F987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Cleaning Activities</w:t>
      </w:r>
    </w:p>
    <w:p w14:paraId="6F899678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Missing value treatment</w:t>
      </w:r>
    </w:p>
    <w:p w14:paraId="0C5E5F0D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Duplicate record removal</w:t>
      </w:r>
    </w:p>
    <w:p w14:paraId="1B71271A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Date standardization</w:t>
      </w:r>
    </w:p>
    <w:p w14:paraId="5EF5DED2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Column normalization</w:t>
      </w:r>
    </w:p>
    <w:p w14:paraId="1971F7FB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Data consistency checks</w:t>
      </w:r>
    </w:p>
    <w:p w14:paraId="44431BEB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Output</w:t>
      </w:r>
    </w:p>
    <w:p w14:paraId="5D92E800" w14:textId="77777777" w:rsidR="001C7F9A" w:rsidRDefault="00000000">
      <w:pPr>
        <w:spacing w:after="160"/>
      </w:pPr>
      <w:r>
        <w:t>Cleaned datasets are stored in the data/processed/ directory, ready for downstream analysis and reporting.</w:t>
      </w:r>
    </w:p>
    <w:p w14:paraId="008A932A" w14:textId="4F6636AD" w:rsidR="001C7F9A" w:rsidRDefault="001C7F9A">
      <w:pPr>
        <w:spacing w:after="160"/>
      </w:pPr>
    </w:p>
    <w:p w14:paraId="5F3C5D44" w14:textId="77777777" w:rsidR="001C7F9A" w:rsidRDefault="00000000">
      <w:pPr>
        <w:pStyle w:val="Heading1"/>
        <w:pageBreakBefore/>
      </w:pPr>
      <w:bookmarkStart w:id="5" w:name="_Toc232318254"/>
      <w:r>
        <w:lastRenderedPageBreak/>
        <w:t>Exploratory Data Analysis</w:t>
      </w:r>
      <w:bookmarkEnd w:id="5"/>
    </w:p>
    <w:p w14:paraId="29D2DD96" w14:textId="77777777" w:rsidR="001C7F9A" w:rsidRDefault="00000000">
      <w:pPr>
        <w:spacing w:after="160"/>
      </w:pPr>
      <w:r>
        <w:t>Exploratory Data Analysis (EDA) was carried out to understand the underlying structure of the data and to identify early trends across investors and fund performance.</w:t>
      </w:r>
    </w:p>
    <w:p w14:paraId="198B874E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Analyses Performed</w:t>
      </w:r>
    </w:p>
    <w:p w14:paraId="18D27D93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State-wise investor distribution</w:t>
      </w:r>
    </w:p>
    <w:p w14:paraId="5E2839C1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Gender distribution</w:t>
      </w:r>
    </w:p>
    <w:p w14:paraId="483C9AA6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AUM growth trend</w:t>
      </w:r>
    </w:p>
    <w:p w14:paraId="58059D9B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SIP trend analysis</w:t>
      </w:r>
    </w:p>
    <w:p w14:paraId="6A7C3233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Category inflow analysis</w:t>
      </w:r>
    </w:p>
    <w:p w14:paraId="399EC823" w14:textId="77777777" w:rsidR="001C7F9A" w:rsidRDefault="00000000">
      <w:pPr>
        <w:spacing w:before="120" w:after="8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Supporting Visuals</w:t>
      </w:r>
    </w:p>
    <w:p w14:paraId="23D6AD7B" w14:textId="0F143A1B" w:rsidR="0053508D" w:rsidRPr="0053508D" w:rsidRDefault="0053508D" w:rsidP="0053508D">
      <w:pPr>
        <w:pStyle w:val="Heading3"/>
      </w:pPr>
      <w:r w:rsidRPr="0053508D">
        <w:t>INVESTOR AGE GROUP DISTRIBUTION</w:t>
      </w:r>
    </w:p>
    <w:tbl>
      <w:tblPr>
        <w:tblW w:w="9359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9"/>
      </w:tblGrid>
      <w:tr w:rsidR="001C7F9A" w14:paraId="4E758652" w14:textId="77777777" w:rsidTr="0036190A">
        <w:tblPrEx>
          <w:tblCellMar>
            <w:top w:w="0" w:type="dxa"/>
            <w:bottom w:w="0" w:type="dxa"/>
          </w:tblCellMar>
        </w:tblPrEx>
        <w:trPr>
          <w:trHeight w:val="2207"/>
        </w:trPr>
        <w:tc>
          <w:tcPr>
            <w:tcW w:w="9359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1B70B8FD" w14:textId="5476FACD" w:rsidR="001C7F9A" w:rsidRDefault="00165869">
            <w:pPr>
              <w:jc w:val="center"/>
            </w:pPr>
            <w:r>
              <w:rPr>
                <w:b/>
                <w:bCs/>
                <w:noProof/>
                <w:color w:val="2E75B6"/>
                <w:sz w:val="24"/>
                <w:szCs w:val="24"/>
              </w:rPr>
              <w:drawing>
                <wp:inline distT="0" distB="0" distL="0" distR="0" wp14:anchorId="738074DE" wp14:editId="06435E13">
                  <wp:extent cx="4297680" cy="3787140"/>
                  <wp:effectExtent l="0" t="0" r="7620" b="3810"/>
                  <wp:docPr id="5948178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7680" cy="3787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AECB6A" w14:textId="08133151" w:rsidR="001C7F9A" w:rsidRDefault="00000000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  <w:r>
        <w:rPr>
          <w:b/>
          <w:bCs/>
          <w:i/>
          <w:iCs/>
          <w:color w:val="595959"/>
          <w:sz w:val="20"/>
          <w:szCs w:val="20"/>
        </w:rPr>
        <w:t xml:space="preserve">Findings: </w:t>
      </w:r>
      <w:r w:rsidR="00165869" w:rsidRPr="00165869">
        <w:rPr>
          <w:b/>
          <w:bCs/>
          <w:i/>
          <w:iCs/>
          <w:color w:val="595959"/>
          <w:sz w:val="20"/>
          <w:szCs w:val="20"/>
        </w:rPr>
        <w:t>The majority of investors belong to the working-age population, indicating strong participation from individuals in their earning years. Younger investors are increasingly adopting mutual fund investments</w:t>
      </w:r>
      <w:r w:rsidR="0053508D">
        <w:rPr>
          <w:b/>
          <w:bCs/>
          <w:i/>
          <w:iCs/>
          <w:color w:val="595959"/>
          <w:sz w:val="20"/>
          <w:szCs w:val="20"/>
        </w:rPr>
        <w:t xml:space="preserve"> </w:t>
      </w:r>
    </w:p>
    <w:p w14:paraId="33A3E547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55EFCF0A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090EF3F5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44F28D5B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36798397" w14:textId="0D8822C2" w:rsidR="0053508D" w:rsidRPr="0053508D" w:rsidRDefault="0053508D" w:rsidP="0053508D">
      <w:pPr>
        <w:pStyle w:val="Heading3"/>
        <w:rPr>
          <w:sz w:val="32"/>
          <w:szCs w:val="32"/>
        </w:rPr>
      </w:pPr>
      <w:r w:rsidRPr="0053508D">
        <w:lastRenderedPageBreak/>
        <w:t>Gender split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F9A" w14:paraId="7025A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05BE49E6" w14:textId="13FBEEEE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BDB381" wp14:editId="01B7ED31">
                  <wp:extent cx="3939540" cy="4000500"/>
                  <wp:effectExtent l="0" t="0" r="3810" b="0"/>
                  <wp:docPr id="208975908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1993" cy="403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21AEA" w14:textId="16D51885" w:rsidR="001C7F9A" w:rsidRDefault="00000000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  <w:r>
        <w:rPr>
          <w:b/>
          <w:bCs/>
          <w:i/>
          <w:iCs/>
          <w:color w:val="595959"/>
          <w:sz w:val="20"/>
          <w:szCs w:val="20"/>
        </w:rPr>
        <w:t xml:space="preserve">Findings: </w:t>
      </w:r>
      <w:r w:rsidR="0036190A" w:rsidRPr="0036190A">
        <w:rPr>
          <w:b/>
          <w:bCs/>
          <w:i/>
          <w:iCs/>
          <w:color w:val="595959"/>
          <w:sz w:val="20"/>
          <w:szCs w:val="20"/>
        </w:rPr>
        <w:t>Male investors constitute a larger share of the investor base, though female participation is also significant, reflecting growing financial awareness.</w:t>
      </w:r>
    </w:p>
    <w:p w14:paraId="75A22995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5E6EE11C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5C00BDEB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6C78B565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720EDA36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3E704850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43E57123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2219D2CC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6ADC39FD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0D83C1B8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54DFE905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7820D076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3E0C8CAA" w14:textId="77777777" w:rsidR="0053508D" w:rsidRDefault="0053508D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</w:p>
    <w:p w14:paraId="49AECB01" w14:textId="559A02DA" w:rsidR="0053508D" w:rsidRPr="0053508D" w:rsidRDefault="0053508D" w:rsidP="0053508D">
      <w:pPr>
        <w:pStyle w:val="Heading3"/>
        <w:rPr>
          <w:sz w:val="32"/>
          <w:szCs w:val="32"/>
        </w:rPr>
      </w:pPr>
      <w:r w:rsidRPr="0053508D">
        <w:lastRenderedPageBreak/>
        <w:t>TOP STATES BY INVESTMENT AMOUNT</w:t>
      </w:r>
    </w:p>
    <w:tbl>
      <w:tblPr>
        <w:tblW w:w="9024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1C7F9A" w14:paraId="4D6F71C4" w14:textId="77777777" w:rsidTr="0036190A">
        <w:tblPrEx>
          <w:tblCellMar>
            <w:top w:w="0" w:type="dxa"/>
            <w:bottom w:w="0" w:type="dxa"/>
          </w:tblCellMar>
        </w:tblPrEx>
        <w:trPr>
          <w:trHeight w:val="3758"/>
        </w:trPr>
        <w:tc>
          <w:tcPr>
            <w:tcW w:w="9024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18DF6697" w14:textId="1D0C3B93" w:rsidR="001C7F9A" w:rsidRDefault="0036190A">
            <w:pPr>
              <w:jc w:val="center"/>
            </w:pPr>
            <w:r>
              <w:rPr>
                <w:i/>
                <w:iCs/>
                <w:noProof/>
                <w:color w:val="595959"/>
              </w:rPr>
              <w:drawing>
                <wp:inline distT="0" distB="0" distL="0" distR="0" wp14:anchorId="19FF6CB6" wp14:editId="7D656EB1">
                  <wp:extent cx="6172200" cy="3093720"/>
                  <wp:effectExtent l="0" t="0" r="0" b="0"/>
                  <wp:docPr id="9317795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2200" cy="309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C4DE9" w14:textId="6098657F" w:rsidR="001C7F9A" w:rsidRDefault="00000000">
      <w:pPr>
        <w:spacing w:before="80" w:after="160"/>
        <w:rPr>
          <w:b/>
          <w:bCs/>
          <w:i/>
          <w:iCs/>
          <w:color w:val="595959"/>
          <w:sz w:val="20"/>
          <w:szCs w:val="20"/>
        </w:rPr>
      </w:pPr>
      <w:r>
        <w:rPr>
          <w:b/>
          <w:bCs/>
          <w:i/>
          <w:iCs/>
          <w:color w:val="595959"/>
          <w:sz w:val="20"/>
          <w:szCs w:val="20"/>
        </w:rPr>
        <w:t xml:space="preserve">Findings: </w:t>
      </w:r>
      <w:r w:rsidR="0036190A" w:rsidRPr="0036190A">
        <w:rPr>
          <w:b/>
          <w:bCs/>
          <w:i/>
          <w:iCs/>
          <w:color w:val="595959"/>
          <w:sz w:val="20"/>
          <w:szCs w:val="20"/>
        </w:rPr>
        <w:t>Investor participation is concentrated in a few major states, highlighting regional differences in mutual fund adoption.</w:t>
      </w:r>
    </w:p>
    <w:p w14:paraId="1630826C" w14:textId="676E4693" w:rsidR="0053508D" w:rsidRPr="0053508D" w:rsidRDefault="0053508D" w:rsidP="0053508D">
      <w:pPr>
        <w:pStyle w:val="Heading3"/>
      </w:pPr>
      <w:r w:rsidRPr="0053508D">
        <w:t>AUM BY FUND HOUSE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</w:tblGrid>
      <w:tr w:rsidR="001C7F9A" w14:paraId="0DA41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0F5B817" w14:textId="37EFC169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2255C6" wp14:editId="565C078D">
                  <wp:extent cx="6324600" cy="3238500"/>
                  <wp:effectExtent l="0" t="0" r="0" b="0"/>
                  <wp:docPr id="10200028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4600" cy="323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1171A" w14:textId="7FDEF10F" w:rsidR="001C7F9A" w:rsidRDefault="00000000">
      <w:pPr>
        <w:spacing w:before="80" w:after="160"/>
      </w:pPr>
      <w:r>
        <w:rPr>
          <w:b/>
          <w:bCs/>
          <w:i/>
          <w:iCs/>
          <w:color w:val="595959"/>
          <w:sz w:val="20"/>
          <w:szCs w:val="20"/>
        </w:rPr>
        <w:t xml:space="preserve">Findings: </w:t>
      </w:r>
      <w:r w:rsidR="0036190A" w:rsidRPr="0036190A">
        <w:rPr>
          <w:b/>
          <w:bCs/>
          <w:i/>
          <w:iCs/>
          <w:color w:val="595959"/>
          <w:sz w:val="20"/>
          <w:szCs w:val="20"/>
        </w:rPr>
        <w:t>Assets Under Management have shown a consistent upward trend, indicating increasing investor confidence and growth in the mutual fund industry.</w:t>
      </w:r>
    </w:p>
    <w:p w14:paraId="06C0406D" w14:textId="77777777" w:rsidR="001C7F9A" w:rsidRDefault="00000000">
      <w:pPr>
        <w:pStyle w:val="Heading1"/>
        <w:pageBreakBefore/>
      </w:pPr>
      <w:bookmarkStart w:id="6" w:name="_Toc232318255"/>
      <w:r>
        <w:lastRenderedPageBreak/>
        <w:t>Performance Analytics</w:t>
      </w:r>
      <w:bookmarkEnd w:id="6"/>
    </w:p>
    <w:p w14:paraId="1874525E" w14:textId="77777777" w:rsidR="001C7F9A" w:rsidRDefault="00000000">
      <w:pPr>
        <w:spacing w:after="160"/>
      </w:pPr>
      <w:r>
        <w:t>A set of standard performance metrics was calculated to evaluate fund returns on a risk-adjusted basis and to compare fund performance against relevant benchmarks.</w:t>
      </w:r>
    </w:p>
    <w:p w14:paraId="41889F8A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Metrics Calculated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C7F9A" w14:paraId="0A72E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3E3C" w14:textId="77777777" w:rsidR="001C7F9A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8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5A1D" w14:textId="77777777" w:rsidR="001C7F9A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C7F9A" w14:paraId="2E1ECB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F7FD" w14:textId="77777777" w:rsidR="001C7F9A" w:rsidRDefault="00000000">
            <w:r>
              <w:t>CAGR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AE41" w14:textId="77777777" w:rsidR="001C7F9A" w:rsidRDefault="00000000">
            <w:r>
              <w:t>Compound Annual Growth Rate – the annualized rate of return over a period.</w:t>
            </w:r>
          </w:p>
        </w:tc>
      </w:tr>
      <w:tr w:rsidR="001C7F9A" w14:paraId="3E25B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F02C" w14:textId="77777777" w:rsidR="001C7F9A" w:rsidRDefault="00000000">
            <w:r>
              <w:t>Alpha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BFCC" w14:textId="77777777" w:rsidR="001C7F9A" w:rsidRDefault="00000000">
            <w:r>
              <w:t>Excess return of a fund relative to its benchmark.</w:t>
            </w:r>
          </w:p>
        </w:tc>
      </w:tr>
      <w:tr w:rsidR="001C7F9A" w14:paraId="643824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B6AD" w14:textId="77777777" w:rsidR="001C7F9A" w:rsidRDefault="00000000">
            <w:r>
              <w:t>Beta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F7B8" w14:textId="77777777" w:rsidR="001C7F9A" w:rsidRDefault="00000000">
            <w:r>
              <w:t>Sensitivity of a fund's returns to overall market movements.</w:t>
            </w:r>
          </w:p>
        </w:tc>
      </w:tr>
      <w:tr w:rsidR="001C7F9A" w14:paraId="12E382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71B4A" w14:textId="77777777" w:rsidR="001C7F9A" w:rsidRDefault="00000000">
            <w:r>
              <w:t>Volatility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C68B" w14:textId="77777777" w:rsidR="001C7F9A" w:rsidRDefault="00000000">
            <w:r>
              <w:t>Degree of variation in a fund's returns over time.</w:t>
            </w:r>
          </w:p>
        </w:tc>
      </w:tr>
      <w:tr w:rsidR="001C7F9A" w14:paraId="674ED2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4E2E" w14:textId="77777777" w:rsidR="001C7F9A" w:rsidRDefault="00000000">
            <w:r>
              <w:t>Sharpe Ratio</w:t>
            </w:r>
          </w:p>
        </w:tc>
        <w:tc>
          <w:tcPr>
            <w:tcW w:w="6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04AA" w14:textId="77777777" w:rsidR="001C7F9A" w:rsidRDefault="00000000">
            <w:r>
              <w:t>Risk-adjusted return measure comparing excess return to volatility.</w:t>
            </w:r>
          </w:p>
        </w:tc>
      </w:tr>
      <w:tr w:rsidR="001C7F9A" w14:paraId="6D6276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17C2" w14:textId="77777777" w:rsidR="001C7F9A" w:rsidRDefault="00000000">
            <w:r>
              <w:t>Maximum Drawdown</w:t>
            </w:r>
          </w:p>
        </w:tc>
        <w:tc>
          <w:tcPr>
            <w:tcW w:w="6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5F5F" w14:textId="77777777" w:rsidR="001C7F9A" w:rsidRDefault="00000000">
            <w:r>
              <w:t>Largest observed decline from a peak to a trough in fund value.</w:t>
            </w:r>
          </w:p>
        </w:tc>
      </w:tr>
    </w:tbl>
    <w:p w14:paraId="756C1F5F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Purpose</w:t>
      </w:r>
    </w:p>
    <w:p w14:paraId="4FFC796B" w14:textId="77777777" w:rsidR="001C7F9A" w:rsidRDefault="00000000">
      <w:pPr>
        <w:spacing w:after="160"/>
      </w:pPr>
      <w:r>
        <w:t>These metrics evaluate risk-adjusted fund performance and enable meaningful comparison against benchmark indices.</w:t>
      </w:r>
    </w:p>
    <w:p w14:paraId="23CAEC18" w14:textId="77777777" w:rsidR="001C7F9A" w:rsidRDefault="00000000">
      <w:pPr>
        <w:spacing w:before="120" w:after="8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Supporting Outputs</w:t>
      </w:r>
    </w:p>
    <w:p w14:paraId="40F8F423" w14:textId="77777777" w:rsidR="0053508D" w:rsidRDefault="0053508D">
      <w:pPr>
        <w:spacing w:before="120" w:after="80"/>
        <w:rPr>
          <w:b/>
          <w:bCs/>
          <w:color w:val="2E75B6"/>
          <w:sz w:val="24"/>
          <w:szCs w:val="24"/>
        </w:rPr>
      </w:pPr>
    </w:p>
    <w:p w14:paraId="10B505AC" w14:textId="3997E962" w:rsidR="0053508D" w:rsidRPr="0053508D" w:rsidRDefault="0053508D">
      <w:pPr>
        <w:spacing w:before="120" w:after="80"/>
        <w:rPr>
          <w:b/>
          <w:bCs/>
        </w:rPr>
      </w:pPr>
      <w:r w:rsidRPr="0053508D">
        <w:rPr>
          <w:b/>
          <w:bCs/>
          <w:color w:val="2E75B6"/>
          <w:sz w:val="24"/>
          <w:szCs w:val="24"/>
        </w:rPr>
        <w:t>ALPHA VS BETA ANALYSIS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F9A" w14:paraId="5AF3C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3AD00F9D" w14:textId="50E1E284" w:rsidR="001C7F9A" w:rsidRDefault="0036190A">
            <w:pPr>
              <w:jc w:val="center"/>
            </w:pPr>
            <w:r w:rsidRPr="0036190A">
              <w:drawing>
                <wp:inline distT="0" distB="0" distL="0" distR="0" wp14:anchorId="04BBBD85" wp14:editId="1B345712">
                  <wp:extent cx="5508625" cy="3246120"/>
                  <wp:effectExtent l="0" t="0" r="0" b="0"/>
                  <wp:docPr id="1576341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3414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3041" cy="3319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0D94E" w14:textId="77777777" w:rsidR="001C7F9A" w:rsidRDefault="001C7F9A">
      <w:pPr>
        <w:spacing w:after="160"/>
      </w:pPr>
    </w:p>
    <w:p w14:paraId="59802308" w14:textId="0A894BB1" w:rsidR="001C7F9A" w:rsidRPr="0053508D" w:rsidRDefault="0053508D" w:rsidP="0053508D">
      <w:pPr>
        <w:pStyle w:val="Heading2"/>
      </w:pPr>
      <w:r w:rsidRPr="0053508D">
        <w:t>BENCHMARK INDEX TRENDS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01982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3CCC46C" w14:textId="2FDA0C38" w:rsidR="001C7F9A" w:rsidRDefault="0036190A">
            <w:pPr>
              <w:jc w:val="center"/>
            </w:pPr>
            <w:r w:rsidRPr="0036190A">
              <w:drawing>
                <wp:inline distT="0" distB="0" distL="0" distR="0" wp14:anchorId="5B138D4B" wp14:editId="5F18291B">
                  <wp:extent cx="5943600" cy="4290060"/>
                  <wp:effectExtent l="0" t="0" r="0" b="0"/>
                  <wp:docPr id="69626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2661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9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18F9DB" w14:textId="77777777" w:rsidR="001C7F9A" w:rsidRDefault="001C7F9A">
      <w:pPr>
        <w:spacing w:after="160"/>
      </w:pPr>
    </w:p>
    <w:p w14:paraId="57003AE8" w14:textId="6516D50A" w:rsidR="0036190A" w:rsidRDefault="0036190A">
      <w:pPr>
        <w:spacing w:after="160"/>
      </w:pPr>
      <w:r w:rsidRPr="0036190A">
        <w:t>Performance metrics such as CAGR, Alpha, Beta, Sharpe Ratio, Volatility, and Maximum Drawdown were calculated to evaluate fund returns and risk-adjusted performance. Benchmark comparisons provide additional context for fund evaluation.</w:t>
      </w:r>
    </w:p>
    <w:p w14:paraId="6A361828" w14:textId="77777777" w:rsidR="001C7F9A" w:rsidRDefault="00000000">
      <w:pPr>
        <w:pStyle w:val="Heading1"/>
        <w:pageBreakBefore/>
      </w:pPr>
      <w:bookmarkStart w:id="7" w:name="_Toc232318256"/>
      <w:r>
        <w:lastRenderedPageBreak/>
        <w:t>Advanced Analytics</w:t>
      </w:r>
      <w:bookmarkEnd w:id="7"/>
    </w:p>
    <w:p w14:paraId="3849946B" w14:textId="77777777" w:rsidR="001C7F9A" w:rsidRDefault="00000000">
      <w:pPr>
        <w:spacing w:after="160"/>
      </w:pPr>
      <w:r>
        <w:t>Beyond standard performance metrics, additional advanced analyses were performed to uncover relationships between funds and identify top opportunities for investors.</w:t>
      </w:r>
    </w:p>
    <w:p w14:paraId="79CF9732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Correlation Analysis</w:t>
      </w:r>
    </w:p>
    <w:p w14:paraId="2BE86090" w14:textId="77777777" w:rsidR="001C7F9A" w:rsidRDefault="00000000">
      <w:pPr>
        <w:spacing w:after="160"/>
      </w:pPr>
      <w:r>
        <w:t>Examines the relationship among mutual fund NAVs to identify funds that move together or independently of one another.</w:t>
      </w:r>
    </w:p>
    <w:p w14:paraId="0CCD307C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Fund Ranking</w:t>
      </w:r>
    </w:p>
    <w:p w14:paraId="36C9B30E" w14:textId="77777777" w:rsidR="001C7F9A" w:rsidRDefault="00000000">
      <w:pPr>
        <w:spacing w:after="160"/>
      </w:pPr>
      <w:r>
        <w:t>Identifies the top-performing mutual funds based on calculated performance metrics.</w:t>
      </w:r>
    </w:p>
    <w:p w14:paraId="72E6E7CA" w14:textId="77777777" w:rsidR="001C7F9A" w:rsidRDefault="00000000">
      <w:pPr>
        <w:spacing w:before="120" w:after="80"/>
      </w:pPr>
      <w:r>
        <w:rPr>
          <w:b/>
          <w:bCs/>
          <w:color w:val="2E75B6"/>
          <w:sz w:val="24"/>
          <w:szCs w:val="24"/>
        </w:rPr>
        <w:t>Sector Allocation Analysis</w:t>
      </w:r>
    </w:p>
    <w:p w14:paraId="1F572A12" w14:textId="77777777" w:rsidR="001C7F9A" w:rsidRDefault="00000000">
      <w:pPr>
        <w:spacing w:after="160"/>
      </w:pPr>
      <w:proofErr w:type="spellStart"/>
      <w:r>
        <w:t>Analyzes</w:t>
      </w:r>
      <w:proofErr w:type="spellEnd"/>
      <w:r>
        <w:t xml:space="preserve"> sector-wise investment concentration to highlight where fund portfolios are most heavily weighted.</w:t>
      </w:r>
    </w:p>
    <w:p w14:paraId="6DF5A76A" w14:textId="77777777" w:rsidR="001C7F9A" w:rsidRDefault="00000000">
      <w:pPr>
        <w:spacing w:before="120" w:after="8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t>Supporting Visuals</w:t>
      </w:r>
    </w:p>
    <w:p w14:paraId="5AA70601" w14:textId="63161D46" w:rsidR="002D76C6" w:rsidRPr="002D76C6" w:rsidRDefault="002D76C6" w:rsidP="002D76C6">
      <w:pPr>
        <w:pStyle w:val="Heading3"/>
      </w:pPr>
      <w:r w:rsidRPr="002D76C6">
        <w:t>NAV RETURN CORRELATION MATRIX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7F9A" w14:paraId="05891D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62F51EF9" w14:textId="77777777" w:rsidR="002D76C6" w:rsidRDefault="002D76C6">
            <w:pPr>
              <w:jc w:val="center"/>
              <w:rPr>
                <w:noProof/>
              </w:rPr>
            </w:pPr>
          </w:p>
          <w:p w14:paraId="0424742A" w14:textId="57293578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832577" wp14:editId="55948F32">
                  <wp:extent cx="5610225" cy="4488180"/>
                  <wp:effectExtent l="0" t="0" r="9525" b="7620"/>
                  <wp:docPr id="20822117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298" cy="4504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5EEB23" w14:textId="77777777" w:rsidR="002D76C6" w:rsidRDefault="002D76C6" w:rsidP="002D76C6">
      <w:pPr>
        <w:pStyle w:val="Heading3"/>
      </w:pPr>
    </w:p>
    <w:p w14:paraId="782BE1CB" w14:textId="417D4222" w:rsidR="001C7F9A" w:rsidRPr="002D76C6" w:rsidRDefault="002D76C6" w:rsidP="002D76C6">
      <w:pPr>
        <w:pStyle w:val="Heading3"/>
      </w:pPr>
      <w:r>
        <w:lastRenderedPageBreak/>
        <w:t>SE</w:t>
      </w:r>
      <w:r w:rsidRPr="002D76C6">
        <w:t>CTOR ALLOCATION ACROSS FUNDS</w:t>
      </w:r>
    </w:p>
    <w:tbl>
      <w:tblPr>
        <w:tblW w:w="9911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1"/>
      </w:tblGrid>
      <w:tr w:rsidR="001C7F9A" w14:paraId="0B49F9F1" w14:textId="77777777" w:rsidTr="002D76C6">
        <w:tblPrEx>
          <w:tblCellMar>
            <w:top w:w="0" w:type="dxa"/>
            <w:bottom w:w="0" w:type="dxa"/>
          </w:tblCellMar>
        </w:tblPrEx>
        <w:trPr>
          <w:trHeight w:val="5166"/>
        </w:trPr>
        <w:tc>
          <w:tcPr>
            <w:tcW w:w="9911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46822ECB" w14:textId="644D5880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3057F5" wp14:editId="31C5305A">
                  <wp:extent cx="3497580" cy="3086100"/>
                  <wp:effectExtent l="0" t="0" r="7620" b="0"/>
                  <wp:docPr id="8887166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7580" cy="308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6C6" w14:paraId="3BC4BDB8" w14:textId="77777777" w:rsidTr="002D76C6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9911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7F7161E0" w14:textId="77777777" w:rsidR="002D76C6" w:rsidRDefault="002D76C6">
            <w:pPr>
              <w:jc w:val="center"/>
              <w:rPr>
                <w:noProof/>
              </w:rPr>
            </w:pPr>
          </w:p>
        </w:tc>
      </w:tr>
    </w:tbl>
    <w:p w14:paraId="30063E03" w14:textId="413824B5" w:rsidR="001C7F9A" w:rsidRPr="002D76C6" w:rsidRDefault="002D76C6" w:rsidP="002D76C6">
      <w:pPr>
        <w:pStyle w:val="Heading3"/>
      </w:pPr>
      <w:r w:rsidRPr="002D76C6">
        <w:t>TOP 5 FUNDS SCORECARD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773F7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7A85BA0D" w14:textId="40AB3D2C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CD9C87" wp14:editId="27C38B9B">
                  <wp:extent cx="5943600" cy="3307080"/>
                  <wp:effectExtent l="0" t="0" r="0" b="7620"/>
                  <wp:docPr id="12399853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0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18C31" w14:textId="77777777" w:rsidR="001C7F9A" w:rsidRDefault="001C7F9A">
      <w:pPr>
        <w:spacing w:after="160"/>
      </w:pPr>
    </w:p>
    <w:p w14:paraId="02CC06C0" w14:textId="77777777" w:rsidR="001C7F9A" w:rsidRDefault="00000000">
      <w:pPr>
        <w:pStyle w:val="Heading1"/>
        <w:pageBreakBefore/>
      </w:pPr>
      <w:bookmarkStart w:id="8" w:name="_Toc232318257"/>
      <w:r>
        <w:lastRenderedPageBreak/>
        <w:t>Power BI Dashboard</w:t>
      </w:r>
      <w:bookmarkEnd w:id="8"/>
    </w:p>
    <w:p w14:paraId="682BAA25" w14:textId="77777777" w:rsidR="001C7F9A" w:rsidRDefault="00000000">
      <w:pPr>
        <w:spacing w:after="160"/>
      </w:pPr>
      <w:r>
        <w:t>An interactive Power BI dashboard was built to present the analysis in a stakeholder-friendly format, organized across five dedicated pages.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1C7F9A" w14:paraId="0A8D80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48B3" w14:textId="77777777" w:rsidR="001C7F9A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78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E428" w14:textId="77777777" w:rsidR="001C7F9A" w:rsidRDefault="00000000">
            <w:r>
              <w:rPr>
                <w:b/>
                <w:bCs/>
                <w:color w:val="FFFFFF"/>
              </w:rPr>
              <w:t>Dashboard Section</w:t>
            </w:r>
          </w:p>
        </w:tc>
      </w:tr>
      <w:tr w:rsidR="001C7F9A" w14:paraId="1F6F59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D6BE" w14:textId="77777777" w:rsidR="001C7F9A" w:rsidRDefault="00000000">
            <w:r>
              <w:t>1</w:t>
            </w:r>
          </w:p>
        </w:tc>
        <w:tc>
          <w:tcPr>
            <w:tcW w:w="7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2731" w14:textId="77777777" w:rsidR="001C7F9A" w:rsidRDefault="00000000">
            <w:r>
              <w:t>Industry Overview</w:t>
            </w:r>
          </w:p>
        </w:tc>
      </w:tr>
      <w:tr w:rsidR="001C7F9A" w14:paraId="746102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16AF" w14:textId="77777777" w:rsidR="001C7F9A" w:rsidRDefault="00000000">
            <w:r>
              <w:t>2</w:t>
            </w:r>
          </w:p>
        </w:tc>
        <w:tc>
          <w:tcPr>
            <w:tcW w:w="7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FE3B" w14:textId="77777777" w:rsidR="001C7F9A" w:rsidRDefault="00000000">
            <w:r>
              <w:t>Fund Performance</w:t>
            </w:r>
          </w:p>
        </w:tc>
      </w:tr>
      <w:tr w:rsidR="001C7F9A" w14:paraId="355481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973E" w14:textId="77777777" w:rsidR="001C7F9A" w:rsidRDefault="00000000">
            <w:r>
              <w:t>3</w:t>
            </w:r>
          </w:p>
        </w:tc>
        <w:tc>
          <w:tcPr>
            <w:tcW w:w="7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EE93" w14:textId="77777777" w:rsidR="001C7F9A" w:rsidRDefault="00000000">
            <w:r>
              <w:t>Investor &amp; SIP Analysis</w:t>
            </w:r>
          </w:p>
        </w:tc>
      </w:tr>
      <w:tr w:rsidR="001C7F9A" w14:paraId="327695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0E8A" w14:textId="77777777" w:rsidR="001C7F9A" w:rsidRDefault="00000000">
            <w:r>
              <w:t>4</w:t>
            </w:r>
          </w:p>
        </w:tc>
        <w:tc>
          <w:tcPr>
            <w:tcW w:w="78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2BD" w14:textId="77777777" w:rsidR="001C7F9A" w:rsidRDefault="00000000">
            <w:r>
              <w:t>Market Trends</w:t>
            </w:r>
          </w:p>
        </w:tc>
      </w:tr>
      <w:tr w:rsidR="001C7F9A" w14:paraId="62970A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BF78" w14:textId="77777777" w:rsidR="001C7F9A" w:rsidRDefault="00000000">
            <w:r>
              <w:t>5</w:t>
            </w:r>
          </w:p>
        </w:tc>
        <w:tc>
          <w:tcPr>
            <w:tcW w:w="7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1477" w14:textId="77777777" w:rsidR="001C7F9A" w:rsidRDefault="00000000">
            <w:r>
              <w:t>Executive Summary</w:t>
            </w:r>
          </w:p>
        </w:tc>
      </w:tr>
    </w:tbl>
    <w:p w14:paraId="576A43A8" w14:textId="77777777" w:rsidR="001C7F9A" w:rsidRDefault="00000000" w:rsidP="002D76C6">
      <w:pPr>
        <w:pStyle w:val="Heading2"/>
      </w:pPr>
      <w:r>
        <w:t>Supporting Screenshots</w:t>
      </w:r>
    </w:p>
    <w:p w14:paraId="1D472ABD" w14:textId="6F7D07BC" w:rsidR="002D76C6" w:rsidRPr="002D76C6" w:rsidRDefault="002D76C6" w:rsidP="002D76C6">
      <w:pPr>
        <w:pStyle w:val="Heading3"/>
        <w:rPr>
          <w:b/>
          <w:bCs/>
        </w:rPr>
      </w:pPr>
      <w:r w:rsidRPr="002D76C6">
        <w:rPr>
          <w:b/>
          <w:bCs/>
        </w:rPr>
        <w:t>PAGE1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31ED0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2B26C2F" w14:textId="09B7331E" w:rsidR="001C7F9A" w:rsidRDefault="003619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60685E" wp14:editId="36C39EFD">
                  <wp:extent cx="5943600" cy="3341370"/>
                  <wp:effectExtent l="0" t="0" r="0" b="0"/>
                  <wp:docPr id="11026728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4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670FC3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3507CB26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0AEBC8D5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77B33052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4BB4E74C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64803618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3E982CB4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6E17E514" w14:textId="6EF7CEA1" w:rsidR="001C7F9A" w:rsidRPr="002D76C6" w:rsidRDefault="002D76C6" w:rsidP="002D76C6">
      <w:pPr>
        <w:pStyle w:val="Heading3"/>
        <w:rPr>
          <w:b/>
          <w:bCs/>
          <w:sz w:val="28"/>
          <w:szCs w:val="28"/>
        </w:rPr>
      </w:pPr>
      <w:r w:rsidRPr="002D76C6">
        <w:rPr>
          <w:b/>
          <w:bCs/>
          <w:sz w:val="28"/>
          <w:szCs w:val="28"/>
        </w:rPr>
        <w:lastRenderedPageBreak/>
        <w:t>PAGE 2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3D185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5BC1FB0" w14:textId="425E1650" w:rsidR="001C7F9A" w:rsidRDefault="002564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551ABE" wp14:editId="4E984363">
                  <wp:extent cx="5943600" cy="3275965"/>
                  <wp:effectExtent l="0" t="0" r="0" b="635"/>
                  <wp:docPr id="7106525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D6B74" w14:textId="32833275" w:rsidR="001C7F9A" w:rsidRPr="002D76C6" w:rsidRDefault="002D76C6" w:rsidP="002D76C6">
      <w:pPr>
        <w:pStyle w:val="Heading3"/>
        <w:rPr>
          <w:b/>
          <w:bCs/>
          <w:sz w:val="28"/>
          <w:szCs w:val="28"/>
        </w:rPr>
      </w:pPr>
      <w:r w:rsidRPr="002D76C6">
        <w:rPr>
          <w:b/>
          <w:bCs/>
          <w:sz w:val="28"/>
          <w:szCs w:val="28"/>
        </w:rPr>
        <w:t>PAGE3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68080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37202A6A" w14:textId="6E888220" w:rsidR="001C7F9A" w:rsidRDefault="002564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1BA359" wp14:editId="73891F73">
                  <wp:extent cx="5943600" cy="3361690"/>
                  <wp:effectExtent l="0" t="0" r="0" b="0"/>
                  <wp:docPr id="21144523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6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B0B924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4AC4A8BA" w14:textId="77777777" w:rsidR="002D76C6" w:rsidRDefault="002D76C6" w:rsidP="002D76C6">
      <w:pPr>
        <w:pStyle w:val="Heading3"/>
        <w:rPr>
          <w:sz w:val="28"/>
          <w:szCs w:val="28"/>
        </w:rPr>
      </w:pPr>
    </w:p>
    <w:p w14:paraId="16E3406D" w14:textId="19BB8AB3" w:rsidR="001C7F9A" w:rsidRPr="002D76C6" w:rsidRDefault="002D76C6" w:rsidP="002D76C6">
      <w:pPr>
        <w:pStyle w:val="Heading3"/>
        <w:rPr>
          <w:b/>
          <w:bCs/>
          <w:sz w:val="28"/>
          <w:szCs w:val="28"/>
        </w:rPr>
      </w:pPr>
      <w:r w:rsidRPr="002D76C6">
        <w:rPr>
          <w:b/>
          <w:bCs/>
          <w:sz w:val="28"/>
          <w:szCs w:val="28"/>
        </w:rPr>
        <w:lastRenderedPageBreak/>
        <w:t>PAGE4</w:t>
      </w:r>
    </w:p>
    <w:tbl>
      <w:tblPr>
        <w:tblW w:w="936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46B2A0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272B6446" w14:textId="373AA3A2" w:rsidR="001C7F9A" w:rsidRDefault="002564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347F904" wp14:editId="000E14A5">
                  <wp:extent cx="5943600" cy="3283585"/>
                  <wp:effectExtent l="0" t="0" r="0" b="0"/>
                  <wp:docPr id="128567830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8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C91A1A" w14:textId="0A338D4F" w:rsidR="001C7F9A" w:rsidRPr="002D76C6" w:rsidRDefault="002D76C6" w:rsidP="002D76C6">
      <w:pPr>
        <w:pStyle w:val="Heading3"/>
        <w:rPr>
          <w:b/>
          <w:bCs/>
          <w:sz w:val="28"/>
          <w:szCs w:val="28"/>
        </w:rPr>
      </w:pPr>
      <w:r w:rsidRPr="002D76C6">
        <w:rPr>
          <w:b/>
          <w:bCs/>
          <w:sz w:val="28"/>
          <w:szCs w:val="28"/>
        </w:rPr>
        <w:t>PAGE 5</w:t>
      </w:r>
    </w:p>
    <w:tbl>
      <w:tblPr>
        <w:tblW w:w="960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1C7F9A" w14:paraId="5F02FF27" w14:textId="77777777" w:rsidTr="00256470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2F2"/>
            <w:tcMar>
              <w:top w:w="240" w:type="dxa"/>
              <w:left w:w="120" w:type="dxa"/>
              <w:bottom w:w="240" w:type="dxa"/>
              <w:right w:w="120" w:type="dxa"/>
            </w:tcMar>
          </w:tcPr>
          <w:p w14:paraId="36FB3A94" w14:textId="3F107752" w:rsidR="001C7F9A" w:rsidRDefault="0025647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77B72F" wp14:editId="2DE4D6C8">
                  <wp:extent cx="5943600" cy="3364865"/>
                  <wp:effectExtent l="0" t="0" r="0" b="6985"/>
                  <wp:docPr id="151009762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36EA3" w14:textId="53ACBD1C" w:rsidR="001C7F9A" w:rsidRDefault="00256470">
      <w:pPr>
        <w:spacing w:after="160"/>
      </w:pPr>
      <w:r w:rsidRPr="00256470">
        <w:t xml:space="preserve">The Power BI dashboard provides an interactive view of mutual fund industry trends, investor </w:t>
      </w:r>
      <w:proofErr w:type="spellStart"/>
      <w:r w:rsidRPr="00256470">
        <w:t>behavior</w:t>
      </w:r>
      <w:proofErr w:type="spellEnd"/>
      <w:r w:rsidRPr="00256470">
        <w:t>, performance metrics, and market insights, enabling effective business decision-making.</w:t>
      </w:r>
    </w:p>
    <w:p w14:paraId="4BB8132B" w14:textId="77777777" w:rsidR="001C7F9A" w:rsidRDefault="00000000">
      <w:pPr>
        <w:pStyle w:val="Heading1"/>
        <w:pageBreakBefore/>
      </w:pPr>
      <w:bookmarkStart w:id="9" w:name="_Toc232318258"/>
      <w:r>
        <w:lastRenderedPageBreak/>
        <w:t>Key Findings</w:t>
      </w:r>
      <w:bookmarkEnd w:id="9"/>
    </w:p>
    <w:p w14:paraId="6FC43C0C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Mutual fund AUM has shown continuous growth over the analysis period.</w:t>
      </w:r>
    </w:p>
    <w:p w14:paraId="564099FC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SIP inflows indicate increasing retail participation in mutual funds.</w:t>
      </w:r>
    </w:p>
    <w:p w14:paraId="07603BAE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Equity funds dominate investor preference compared to other categories.</w:t>
      </w:r>
    </w:p>
    <w:p w14:paraId="11DE419A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Top-performing funds consistently outperform their benchmark returns.</w:t>
      </w:r>
    </w:p>
    <w:p w14:paraId="16877E0D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Sector allocation shows a concentration of investments in a few major industries.</w:t>
      </w:r>
    </w:p>
    <w:p w14:paraId="66FB68AD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Correlation analysis identifies funds with similar performance behaviour.</w:t>
      </w:r>
    </w:p>
    <w:p w14:paraId="55EB9847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Fund rankings help identify consistently high-performing schemes.</w:t>
      </w:r>
    </w:p>
    <w:p w14:paraId="4A3DB70E" w14:textId="77777777" w:rsidR="001C7F9A" w:rsidRDefault="00000000">
      <w:pPr>
        <w:pStyle w:val="ListParagraph"/>
        <w:numPr>
          <w:ilvl w:val="0"/>
          <w:numId w:val="3"/>
        </w:numPr>
        <w:spacing w:after="80"/>
      </w:pPr>
      <w:r>
        <w:t>Benchmark indices have a notable influence on overall fund performance.</w:t>
      </w:r>
    </w:p>
    <w:p w14:paraId="3CA47711" w14:textId="77777777" w:rsidR="001C7F9A" w:rsidRDefault="00000000">
      <w:pPr>
        <w:pStyle w:val="Heading1"/>
        <w:pageBreakBefore/>
      </w:pPr>
      <w:bookmarkStart w:id="10" w:name="_Toc232318259"/>
      <w:r>
        <w:lastRenderedPageBreak/>
        <w:t>Conclusion</w:t>
      </w:r>
      <w:bookmarkEnd w:id="10"/>
    </w:p>
    <w:p w14:paraId="0C789EFF" w14:textId="77777777" w:rsidR="001C7F9A" w:rsidRDefault="00000000">
      <w:pPr>
        <w:spacing w:after="160"/>
      </w:pPr>
      <w:r>
        <w:t xml:space="preserve">The </w:t>
      </w:r>
      <w:proofErr w:type="spellStart"/>
      <w:r>
        <w:t>Bluestock</w:t>
      </w:r>
      <w:proofErr w:type="spellEnd"/>
      <w:r>
        <w:t xml:space="preserve"> Mutual Fund Analytics Capstone Project successfully implemented an end-to-end analytics pipeline using Python, SQLite, SQL, and Power BI. Raw mutual fund datasets were transformed into meaningful business insights through a combination of data engineering, analysis, and visualization techniques.</w:t>
      </w:r>
    </w:p>
    <w:p w14:paraId="0A784B9F" w14:textId="77777777" w:rsidR="001C7F9A" w:rsidRDefault="00000000">
      <w:pPr>
        <w:spacing w:after="160"/>
      </w:pPr>
      <w:r>
        <w:t>The resulting dashboard provides a comprehensive view of industry trends, fund performance, investor behaviour, and market movements – enabling data-driven decision making for investors and stakeholders alike.</w:t>
      </w:r>
    </w:p>
    <w:p w14:paraId="43F9C1F7" w14:textId="77777777" w:rsidR="001C7F9A" w:rsidRDefault="00000000">
      <w:pPr>
        <w:pStyle w:val="Heading1"/>
        <w:pageBreakBefore/>
      </w:pPr>
      <w:bookmarkStart w:id="11" w:name="_Toc232318260"/>
      <w:r>
        <w:lastRenderedPageBreak/>
        <w:t>Future Enhancements</w:t>
      </w:r>
      <w:bookmarkEnd w:id="11"/>
    </w:p>
    <w:p w14:paraId="5F930B34" w14:textId="77777777" w:rsidR="001C7F9A" w:rsidRDefault="00000000">
      <w:pPr>
        <w:spacing w:after="160"/>
      </w:pPr>
      <w:r>
        <w:t>The following enhancements have been identified as potential next steps to extend the value and capability of this project:</w:t>
      </w:r>
    </w:p>
    <w:p w14:paraId="2721A801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Real-time NAV updates</w:t>
      </w:r>
    </w:p>
    <w:p w14:paraId="5136E73C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Automated ETL scheduling</w:t>
      </w:r>
    </w:p>
    <w:p w14:paraId="4251BD77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Predictive fund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modeling</w:t>
      </w:r>
      <w:proofErr w:type="spellEnd"/>
    </w:p>
    <w:p w14:paraId="54DE61CF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Machine Learning integration</w:t>
      </w:r>
    </w:p>
    <w:p w14:paraId="725B2B65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Cloud deployment</w:t>
      </w:r>
    </w:p>
    <w:p w14:paraId="2E9CC2CB" w14:textId="77777777" w:rsidR="001C7F9A" w:rsidRDefault="00000000">
      <w:pPr>
        <w:pStyle w:val="ListParagraph"/>
        <w:numPr>
          <w:ilvl w:val="0"/>
          <w:numId w:val="2"/>
        </w:numPr>
        <w:spacing w:after="80"/>
      </w:pPr>
      <w:r>
        <w:t>Interactive web dashboard</w:t>
      </w:r>
    </w:p>
    <w:sectPr w:rsidR="001C7F9A">
      <w:headerReference w:type="default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E4779" w14:textId="77777777" w:rsidR="006F575A" w:rsidRDefault="006F575A">
      <w:r>
        <w:separator/>
      </w:r>
    </w:p>
  </w:endnote>
  <w:endnote w:type="continuationSeparator" w:id="0">
    <w:p w14:paraId="313CC2C8" w14:textId="77777777" w:rsidR="006F575A" w:rsidRDefault="006F5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59A9" w14:textId="77777777" w:rsidR="001C7F9A" w:rsidRDefault="00000000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6071A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B6EC" w14:textId="77777777" w:rsidR="001C7F9A" w:rsidRDefault="001C7F9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B721" w14:textId="77777777" w:rsidR="006F575A" w:rsidRDefault="006F575A">
      <w:r>
        <w:separator/>
      </w:r>
    </w:p>
  </w:footnote>
  <w:footnote w:type="continuationSeparator" w:id="0">
    <w:p w14:paraId="11DAFE7C" w14:textId="77777777" w:rsidR="006F575A" w:rsidRDefault="006F5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39AC" w14:textId="77777777" w:rsidR="001C7F9A" w:rsidRDefault="00000000">
    <w:pPr>
      <w:pBdr>
        <w:bottom w:val="single" w:sz="4" w:space="2" w:color="D9D9D9"/>
      </w:pBdr>
      <w:jc w:val="right"/>
    </w:pPr>
    <w:proofErr w:type="spellStart"/>
    <w:r>
      <w:rPr>
        <w:color w:val="595959"/>
        <w:sz w:val="16"/>
        <w:szCs w:val="16"/>
      </w:rPr>
      <w:t>Bluestock</w:t>
    </w:r>
    <w:proofErr w:type="spellEnd"/>
    <w:r>
      <w:rPr>
        <w:color w:val="595959"/>
        <w:sz w:val="16"/>
        <w:szCs w:val="16"/>
      </w:rPr>
      <w:t xml:space="preserve"> Mutual Fund Analytics – Capstone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A7FE" w14:textId="77777777" w:rsidR="001C7F9A" w:rsidRDefault="001C7F9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7643"/>
    <w:multiLevelType w:val="hybridMultilevel"/>
    <w:tmpl w:val="73A280D4"/>
    <w:lvl w:ilvl="0" w:tplc="BA7488CA">
      <w:start w:val="1"/>
      <w:numFmt w:val="decimal"/>
      <w:lvlText w:val="%1."/>
      <w:lvlJc w:val="left"/>
      <w:pPr>
        <w:ind w:left="720" w:hanging="360"/>
      </w:pPr>
    </w:lvl>
    <w:lvl w:ilvl="1" w:tplc="540493B0">
      <w:numFmt w:val="decimal"/>
      <w:lvlText w:val=""/>
      <w:lvlJc w:val="left"/>
    </w:lvl>
    <w:lvl w:ilvl="2" w:tplc="616CFB40">
      <w:numFmt w:val="decimal"/>
      <w:lvlText w:val=""/>
      <w:lvlJc w:val="left"/>
    </w:lvl>
    <w:lvl w:ilvl="3" w:tplc="6994CA4E">
      <w:numFmt w:val="decimal"/>
      <w:lvlText w:val=""/>
      <w:lvlJc w:val="left"/>
    </w:lvl>
    <w:lvl w:ilvl="4" w:tplc="8B943C4A">
      <w:numFmt w:val="decimal"/>
      <w:lvlText w:val=""/>
      <w:lvlJc w:val="left"/>
    </w:lvl>
    <w:lvl w:ilvl="5" w:tplc="676C1200">
      <w:numFmt w:val="decimal"/>
      <w:lvlText w:val=""/>
      <w:lvlJc w:val="left"/>
    </w:lvl>
    <w:lvl w:ilvl="6" w:tplc="E7D0AAEE">
      <w:numFmt w:val="decimal"/>
      <w:lvlText w:val=""/>
      <w:lvlJc w:val="left"/>
    </w:lvl>
    <w:lvl w:ilvl="7" w:tplc="0CAA3B2E">
      <w:numFmt w:val="decimal"/>
      <w:lvlText w:val=""/>
      <w:lvlJc w:val="left"/>
    </w:lvl>
    <w:lvl w:ilvl="8" w:tplc="B4747CBC">
      <w:numFmt w:val="decimal"/>
      <w:lvlText w:val=""/>
      <w:lvlJc w:val="left"/>
    </w:lvl>
  </w:abstractNum>
  <w:abstractNum w:abstractNumId="1" w15:restartNumberingAfterBreak="0">
    <w:nsid w:val="54382AB0"/>
    <w:multiLevelType w:val="hybridMultilevel"/>
    <w:tmpl w:val="B830A648"/>
    <w:lvl w:ilvl="0" w:tplc="C6FC6AA4">
      <w:start w:val="1"/>
      <w:numFmt w:val="bullet"/>
      <w:lvlText w:val="●"/>
      <w:lvlJc w:val="left"/>
      <w:pPr>
        <w:ind w:left="720" w:hanging="360"/>
      </w:pPr>
    </w:lvl>
    <w:lvl w:ilvl="1" w:tplc="B40A9686">
      <w:start w:val="1"/>
      <w:numFmt w:val="bullet"/>
      <w:lvlText w:val="○"/>
      <w:lvlJc w:val="left"/>
      <w:pPr>
        <w:ind w:left="1440" w:hanging="360"/>
      </w:pPr>
    </w:lvl>
    <w:lvl w:ilvl="2" w:tplc="259EA710">
      <w:start w:val="1"/>
      <w:numFmt w:val="bullet"/>
      <w:lvlText w:val="■"/>
      <w:lvlJc w:val="left"/>
      <w:pPr>
        <w:ind w:left="2160" w:hanging="360"/>
      </w:pPr>
    </w:lvl>
    <w:lvl w:ilvl="3" w:tplc="80B2924A">
      <w:start w:val="1"/>
      <w:numFmt w:val="bullet"/>
      <w:lvlText w:val="●"/>
      <w:lvlJc w:val="left"/>
      <w:pPr>
        <w:ind w:left="2880" w:hanging="360"/>
      </w:pPr>
    </w:lvl>
    <w:lvl w:ilvl="4" w:tplc="96D62B42">
      <w:start w:val="1"/>
      <w:numFmt w:val="bullet"/>
      <w:lvlText w:val="○"/>
      <w:lvlJc w:val="left"/>
      <w:pPr>
        <w:ind w:left="3600" w:hanging="360"/>
      </w:pPr>
    </w:lvl>
    <w:lvl w:ilvl="5" w:tplc="CDEC630A">
      <w:start w:val="1"/>
      <w:numFmt w:val="bullet"/>
      <w:lvlText w:val="■"/>
      <w:lvlJc w:val="left"/>
      <w:pPr>
        <w:ind w:left="4320" w:hanging="360"/>
      </w:pPr>
    </w:lvl>
    <w:lvl w:ilvl="6" w:tplc="F7004BFE">
      <w:start w:val="1"/>
      <w:numFmt w:val="bullet"/>
      <w:lvlText w:val="●"/>
      <w:lvlJc w:val="left"/>
      <w:pPr>
        <w:ind w:left="5040" w:hanging="360"/>
      </w:pPr>
    </w:lvl>
    <w:lvl w:ilvl="7" w:tplc="E5C6A036">
      <w:start w:val="1"/>
      <w:numFmt w:val="bullet"/>
      <w:lvlText w:val="●"/>
      <w:lvlJc w:val="left"/>
      <w:pPr>
        <w:ind w:left="5760" w:hanging="360"/>
      </w:pPr>
    </w:lvl>
    <w:lvl w:ilvl="8" w:tplc="B14887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A46487"/>
    <w:multiLevelType w:val="hybridMultilevel"/>
    <w:tmpl w:val="C1F6B40A"/>
    <w:lvl w:ilvl="0" w:tplc="753E5D14">
      <w:start w:val="1"/>
      <w:numFmt w:val="bullet"/>
      <w:lvlText w:val="•"/>
      <w:lvlJc w:val="left"/>
      <w:pPr>
        <w:ind w:left="720" w:hanging="360"/>
      </w:pPr>
    </w:lvl>
    <w:lvl w:ilvl="1" w:tplc="5C244A78">
      <w:numFmt w:val="decimal"/>
      <w:lvlText w:val=""/>
      <w:lvlJc w:val="left"/>
    </w:lvl>
    <w:lvl w:ilvl="2" w:tplc="5EAC4D0C">
      <w:numFmt w:val="decimal"/>
      <w:lvlText w:val=""/>
      <w:lvlJc w:val="left"/>
    </w:lvl>
    <w:lvl w:ilvl="3" w:tplc="4A864D5E">
      <w:numFmt w:val="decimal"/>
      <w:lvlText w:val=""/>
      <w:lvlJc w:val="left"/>
    </w:lvl>
    <w:lvl w:ilvl="4" w:tplc="5CD0209E">
      <w:numFmt w:val="decimal"/>
      <w:lvlText w:val=""/>
      <w:lvlJc w:val="left"/>
    </w:lvl>
    <w:lvl w:ilvl="5" w:tplc="A1CA53A2">
      <w:numFmt w:val="decimal"/>
      <w:lvlText w:val=""/>
      <w:lvlJc w:val="left"/>
    </w:lvl>
    <w:lvl w:ilvl="6" w:tplc="E758C6C8">
      <w:numFmt w:val="decimal"/>
      <w:lvlText w:val=""/>
      <w:lvlJc w:val="left"/>
    </w:lvl>
    <w:lvl w:ilvl="7" w:tplc="7EE483AA">
      <w:numFmt w:val="decimal"/>
      <w:lvlText w:val=""/>
      <w:lvlJc w:val="left"/>
    </w:lvl>
    <w:lvl w:ilvl="8" w:tplc="8432E524">
      <w:numFmt w:val="decimal"/>
      <w:lvlText w:val=""/>
      <w:lvlJc w:val="left"/>
    </w:lvl>
  </w:abstractNum>
  <w:num w:numId="1" w16cid:durableId="2069113521">
    <w:abstractNumId w:val="1"/>
    <w:lvlOverride w:ilvl="0">
      <w:startOverride w:val="1"/>
    </w:lvlOverride>
  </w:num>
  <w:num w:numId="2" w16cid:durableId="408235541">
    <w:abstractNumId w:val="2"/>
    <w:lvlOverride w:ilvl="0">
      <w:startOverride w:val="1"/>
    </w:lvlOverride>
  </w:num>
  <w:num w:numId="3" w16cid:durableId="19422568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7F9A"/>
    <w:rsid w:val="00165869"/>
    <w:rsid w:val="001C7F9A"/>
    <w:rsid w:val="00256470"/>
    <w:rsid w:val="002D76C6"/>
    <w:rsid w:val="0036190A"/>
    <w:rsid w:val="0053508D"/>
    <w:rsid w:val="00657D53"/>
    <w:rsid w:val="006F575A"/>
    <w:rsid w:val="0086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F67A"/>
  <w15:docId w15:val="{482F7677-3F05-4B2A-8306-AE8742AC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6071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1430</Words>
  <Characters>8154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Bluestock Mutual Fund Analytics Capstone Project</vt:lpstr>
    </vt:vector>
  </TitlesOfParts>
  <Company/>
  <LinksUpToDate>false</LinksUpToDate>
  <CharactersWithSpaces>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Bluestock Mutual Fund Analytics Capstone Project</dc:title>
  <dc:creator>Harsh Gupta</dc:creator>
  <cp:lastModifiedBy>HARSH GUPTA</cp:lastModifiedBy>
  <cp:revision>5</cp:revision>
  <cp:lastPrinted>2026-06-14T03:27:00Z</cp:lastPrinted>
  <dcterms:created xsi:type="dcterms:W3CDTF">2026-06-14T03:00:00Z</dcterms:created>
  <dcterms:modified xsi:type="dcterms:W3CDTF">2026-06-14T03:38:00Z</dcterms:modified>
</cp:coreProperties>
</file>