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1971" w14:textId="77777777" w:rsidR="00437170" w:rsidRDefault="00000000">
      <w:pPr>
        <w:pStyle w:val="Heading1"/>
      </w:pPr>
      <w:r>
        <w:t>Response to Reviewer #3's Comments</w:t>
      </w:r>
    </w:p>
    <w:p w14:paraId="7AD7E036" w14:textId="77777777" w:rsidR="00437170" w:rsidRDefault="00000000">
      <w:r>
        <w:t xml:space="preserve">This document contains detailed responses to the comments and questions raised by Reviewer #3 regarding the manuscript </w:t>
      </w:r>
      <w:r>
        <w:rPr>
          <w:b/>
        </w:rPr>
        <w:t>"Constraints and Heuristics: Leveraging Dataset Metadata for Efficient AutoML"</w:t>
      </w:r>
      <w:r>
        <w:t>.</w:t>
      </w:r>
    </w:p>
    <w:p w14:paraId="46C1617E" w14:textId="77777777" w:rsidR="00437170" w:rsidRDefault="00000000">
      <w:r>
        <w:rPr>
          <w:color w:val="808080"/>
        </w:rPr>
        <w:t>————————————————————————————————————————</w:t>
      </w:r>
    </w:p>
    <w:p w14:paraId="03C5EB94" w14:textId="77777777" w:rsidR="00437170" w:rsidRDefault="00000000">
      <w:pPr>
        <w:pStyle w:val="Heading2"/>
      </w:pPr>
      <w:r>
        <w:t>Part 1: Answers to General Questions</w:t>
      </w:r>
    </w:p>
    <w:p w14:paraId="5AEB4735" w14:textId="77777777" w:rsidR="00437170" w:rsidRDefault="00000000">
      <w:pPr>
        <w:pStyle w:val="Heading3"/>
      </w:pPr>
      <w:r>
        <w:t>1. Suitability of Title and Quality of the Abstract</w:t>
      </w:r>
    </w:p>
    <w:p w14:paraId="0F17B02C" w14:textId="77777777" w:rsidR="00437170" w:rsidRDefault="00000000">
      <w:pPr>
        <w:pStyle w:val="ListBullet"/>
      </w:pPr>
      <w:r>
        <w:t xml:space="preserve">  </w:t>
      </w:r>
      <w:r>
        <w:rPr>
          <w:b/>
        </w:rPr>
        <w:t>Suitability of Title:</w:t>
      </w:r>
      <w:r>
        <w:t xml:space="preserve"> The title is highly suitable, clearly capturing the core methodology: using dataset metadata (properties) to formulate constraints and heuristics that prune the AutoML search space.</w:t>
      </w:r>
    </w:p>
    <w:p w14:paraId="1ACE3B63" w14:textId="77777777" w:rsidR="00437170" w:rsidRDefault="00000000">
      <w:pPr>
        <w:pStyle w:val="ListBullet"/>
      </w:pPr>
      <w:r>
        <w:t xml:space="preserve">  </w:t>
      </w:r>
      <w:r>
        <w:rPr>
          <w:b/>
        </w:rPr>
        <w:t>Quality of the Abstract:</w:t>
      </w:r>
      <w:r>
        <w:t xml:space="preserve"> The abstract has been thoroughly revised to establish a formal, objective tone. All first-person and conversational pronouns ("we", "our", "us", "they", "I") have been eliminated. It now explicitly states the primary contributions (a grey-box framework reducing model evaluations by ~67%), recognizes the heuristic nature of the rules as a limitation, and points to the reproducibility checklists and planned benchmark protocols.</w:t>
      </w:r>
    </w:p>
    <w:p w14:paraId="74C90FAA" w14:textId="77777777" w:rsidR="00437170" w:rsidRDefault="00000000">
      <w:pPr>
        <w:pStyle w:val="Heading3"/>
      </w:pPr>
      <w:r>
        <w:t>2. Adequacy of Literature Review and Proposed Methods</w:t>
      </w:r>
    </w:p>
    <w:p w14:paraId="606AF0A1" w14:textId="77777777" w:rsidR="00437170" w:rsidRDefault="00000000">
      <w:pPr>
        <w:pStyle w:val="ListBullet"/>
      </w:pPr>
      <w:r>
        <w:t xml:space="preserve">  </w:t>
      </w:r>
      <w:r>
        <w:rPr>
          <w:b/>
        </w:rPr>
        <w:t>Literature Review:</w:t>
      </w:r>
      <w:r>
        <w:t xml:space="preserve"> The related work has been expanded with a new subsection (</w:t>
      </w:r>
      <w:r>
        <w:rPr>
          <w:b/>
        </w:rPr>
        <w:t>"Domain-Specific Implementations"</w:t>
      </w:r>
      <w:r>
        <w:t>) citing recent studies (2023–2025) across critical fields (solar photovoltaic forecasting, wind turbine controllers, dengue patient prediction, medical cyber-physical systems, and power grid contingency classification). This better positions the work within the contemporary research landscape.</w:t>
      </w:r>
    </w:p>
    <w:p w14:paraId="019E44B5" w14:textId="77777777" w:rsidR="00437170" w:rsidRDefault="00000000">
      <w:pPr>
        <w:pStyle w:val="ListBullet"/>
      </w:pPr>
      <w:r>
        <w:t xml:space="preserve">  </w:t>
      </w:r>
      <w:r>
        <w:rPr>
          <w:b/>
        </w:rPr>
        <w:t>Proposed Methods:</w:t>
      </w:r>
      <w:r>
        <w:t xml:space="preserve"> The experimental design has been made explicit:</w:t>
      </w:r>
    </w:p>
    <w:p w14:paraId="2FBE7CAB" w14:textId="77777777" w:rsidR="00437170" w:rsidRDefault="00000000">
      <w:pPr>
        <w:pStyle w:val="ListBullet"/>
      </w:pPr>
      <w:r>
        <w:t xml:space="preserve">  Clarified the </w:t>
      </w:r>
      <w:r>
        <w:rPr>
          <w:b/>
        </w:rPr>
        <w:t>80/20 train-test split</w:t>
      </w:r>
      <w:r>
        <w:t xml:space="preserve"> and the use of stratified splits for classification.</w:t>
      </w:r>
    </w:p>
    <w:p w14:paraId="39C16658" w14:textId="77777777" w:rsidR="00437170" w:rsidRDefault="00000000">
      <w:pPr>
        <w:pStyle w:val="ListBullet"/>
      </w:pPr>
      <w:r>
        <w:t xml:space="preserve">  Detailed the </w:t>
      </w:r>
      <w:r>
        <w:rPr>
          <w:b/>
        </w:rPr>
        <w:t>5-fold cross-validation</w:t>
      </w:r>
      <w:r>
        <w:t xml:space="preserve"> strategy.</w:t>
      </w:r>
    </w:p>
    <w:p w14:paraId="4B80021E" w14:textId="77777777" w:rsidR="00437170" w:rsidRDefault="00000000">
      <w:pPr>
        <w:pStyle w:val="ListBullet"/>
      </w:pPr>
      <w:r>
        <w:t xml:space="preserve">  Defined the </w:t>
      </w:r>
      <w:r>
        <w:rPr>
          <w:b/>
        </w:rPr>
        <w:t>hyperparameter search grids</w:t>
      </w:r>
      <w:r>
        <w:t xml:space="preserve"> (e.g., tree depths, estimators, and learning rates) used during the grid search.</w:t>
      </w:r>
    </w:p>
    <w:p w14:paraId="08DE0747" w14:textId="77777777" w:rsidR="00437170" w:rsidRDefault="00000000">
      <w:pPr>
        <w:pStyle w:val="ListBullet"/>
      </w:pPr>
      <w:r>
        <w:t xml:space="preserve">  Added a detailed </w:t>
      </w:r>
      <w:r>
        <w:rPr>
          <w:b/>
        </w:rPr>
        <w:t>Computational Complexity Analysis</w:t>
      </w:r>
      <w:r>
        <w:t xml:space="preserve"> subsection (Section 5.1) detailing the time and memory complexities of metadata extraction ($O(N \cdot P)$), rule evaluation ($O(1)$), training/tuning, and inference/scalability.</w:t>
      </w:r>
    </w:p>
    <w:p w14:paraId="48C9E21E" w14:textId="77777777" w:rsidR="00437170" w:rsidRDefault="00000000">
      <w:pPr>
        <w:pStyle w:val="Heading3"/>
      </w:pPr>
      <w:r>
        <w:t>3. Quality of Result Analysis and Conclusion</w:t>
      </w:r>
    </w:p>
    <w:p w14:paraId="03F48300" w14:textId="77777777" w:rsidR="00437170" w:rsidRDefault="00000000">
      <w:pPr>
        <w:pStyle w:val="ListBullet"/>
      </w:pPr>
      <w:r>
        <w:t xml:space="preserve">  </w:t>
      </w:r>
      <w:r>
        <w:rPr>
          <w:b/>
        </w:rPr>
        <w:t>Dataset Description:</w:t>
      </w:r>
      <w:r>
        <w:t xml:space="preserve"> Section 4.1 was updated to provide detailed descriptions of the datasets (D1–D4), including sample sizes, feature counts (numerical vs. categorical), preprocessing steps (imputation, scaling, encoding, and variance-filtering), and target class distributions.</w:t>
      </w:r>
    </w:p>
    <w:p w14:paraId="56525244" w14:textId="77777777" w:rsidR="00437170" w:rsidRDefault="00000000">
      <w:pPr>
        <w:pStyle w:val="ListBullet"/>
      </w:pPr>
      <w:r>
        <w:t xml:space="preserve">  </w:t>
      </w:r>
      <w:r>
        <w:rPr>
          <w:b/>
        </w:rPr>
        <w:t>Baselines and SOTA Comparison:</w:t>
      </w:r>
      <w:r>
        <w:t xml:space="preserve"> Positioned MetaFlow relative to state-of-the-art AutoML systems (</w:t>
      </w:r>
      <w:r>
        <w:rPr>
          <w:b/>
        </w:rPr>
        <w:t>FLAML</w:t>
      </w:r>
      <w:r>
        <w:t xml:space="preserve"> and </w:t>
      </w:r>
      <w:r>
        <w:rPr>
          <w:b/>
        </w:rPr>
        <w:t>TPOT</w:t>
      </w:r>
      <w:r>
        <w:t>) in Section 2 (Related Work), explaining how MetaFlow uses metadata-driven hard constraints to prune the search space before training to achieve a ~67% reduction in evaluations.</w:t>
      </w:r>
    </w:p>
    <w:p w14:paraId="2F2AEE8B" w14:textId="77777777" w:rsidR="00437170" w:rsidRDefault="00000000">
      <w:pPr>
        <w:pStyle w:val="ListBullet"/>
      </w:pPr>
      <w:r>
        <w:lastRenderedPageBreak/>
        <w:t xml:space="preserve">  </w:t>
      </w:r>
      <w:r>
        <w:rPr>
          <w:b/>
        </w:rPr>
        <w:t>Conclusion:</w:t>
      </w:r>
      <w:r>
        <w:t xml:space="preserve"> The conclusion was revised to remove informal language and conversational phrasing, reinforcing the central finding that metadata-driven hard constraints successfully eliminate unsuitable candidates prior to training.</w:t>
      </w:r>
    </w:p>
    <w:p w14:paraId="1D0E1D4B" w14:textId="77777777" w:rsidR="00437170" w:rsidRDefault="00000000">
      <w:pPr>
        <w:pStyle w:val="Heading3"/>
      </w:pPr>
      <w:r>
        <w:t>4. Overall Evaluation</w:t>
      </w:r>
    </w:p>
    <w:p w14:paraId="41869512" w14:textId="77777777" w:rsidR="00437170" w:rsidRDefault="00000000">
      <w:r>
        <w:t>The manuscript has been systematically improved to meet academic publication standards:</w:t>
      </w:r>
    </w:p>
    <w:p w14:paraId="6311B0AC" w14:textId="77777777" w:rsidR="00437170" w:rsidRDefault="00000000">
      <w:pPr>
        <w:pStyle w:val="ListBullet"/>
      </w:pPr>
      <w:r>
        <w:t xml:space="preserve">  All duplicate paragraphs and sentences identified in the drafts were removed.</w:t>
      </w:r>
    </w:p>
    <w:p w14:paraId="38B3AE38" w14:textId="77777777" w:rsidR="00437170" w:rsidRDefault="00000000">
      <w:pPr>
        <w:pStyle w:val="ListBullet"/>
      </w:pPr>
      <w:r>
        <w:t xml:space="preserve">  First-person and conversational pronouns were eliminated throughout the text.</w:t>
      </w:r>
    </w:p>
    <w:p w14:paraId="602F7E39" w14:textId="77777777" w:rsidR="00437170" w:rsidRDefault="00000000">
      <w:pPr>
        <w:pStyle w:val="ListBullet"/>
      </w:pPr>
      <w:r>
        <w:t xml:space="preserve">  A dedicated </w:t>
      </w:r>
      <w:r>
        <w:rPr>
          <w:b/>
        </w:rPr>
        <w:t>Limitations and Deployment Challenges</w:t>
      </w:r>
      <w:r>
        <w:t xml:space="preserve"> subsection was added to discuss heuristic dependency, unstructured data limitations, and practical engineering challenges like schema drift.</w:t>
      </w:r>
    </w:p>
    <w:p w14:paraId="190A2F6B" w14:textId="77777777" w:rsidR="00437170" w:rsidRDefault="00000000">
      <w:pPr>
        <w:pStyle w:val="ListBullet"/>
      </w:pPr>
      <w:r>
        <w:t xml:space="preserve">  To strictly enforce the 10-page limit, itemized lists in the research questions, dataset descriptions, complexity analysis, and limitations were converted to compact inline paragraphs; the TikZ architecture figure was scaled down; table float configurations were optimized (removing restrictive </w:t>
      </w:r>
      <w:r>
        <w:rPr>
          <w:rFonts w:ascii="Consolas" w:hAnsi="Consolas"/>
          <w:sz w:val="20"/>
        </w:rPr>
        <w:t>\FloatBarrier</w:t>
      </w:r>
      <w:r>
        <w:t xml:space="preserve"> barriers and changing Table 2's float option from </w:t>
      </w:r>
      <w:r>
        <w:rPr>
          <w:rFonts w:ascii="Consolas" w:hAnsi="Consolas"/>
          <w:sz w:val="20"/>
        </w:rPr>
        <w:t>[H]</w:t>
      </w:r>
      <w:r>
        <w:t xml:space="preserve"> to </w:t>
      </w:r>
      <w:r>
        <w:rPr>
          <w:rFonts w:ascii="Consolas" w:hAnsi="Consolas"/>
          <w:sz w:val="20"/>
        </w:rPr>
        <w:t>[t]</w:t>
      </w:r>
      <w:r>
        <w:t>); four non-relevant/redundant references (</w:t>
      </w:r>
      <w:r>
        <w:rPr>
          <w:rFonts w:ascii="Consolas" w:hAnsi="Consolas"/>
          <w:sz w:val="20"/>
        </w:rPr>
        <w:t>michie1994machine</w:t>
      </w:r>
      <w:r>
        <w:t xml:space="preserve">, </w:t>
      </w:r>
      <w:r>
        <w:rPr>
          <w:rFonts w:ascii="Consolas" w:hAnsi="Consolas"/>
          <w:sz w:val="20"/>
        </w:rPr>
        <w:t>falkner2018bohb</w:t>
      </w:r>
      <w:r>
        <w:t xml:space="preserve">, </w:t>
      </w:r>
      <w:r>
        <w:rPr>
          <w:rFonts w:ascii="Consolas" w:hAnsi="Consolas"/>
          <w:sz w:val="20"/>
        </w:rPr>
        <w:t>brazil2010metalearning</w:t>
      </w:r>
      <w:r>
        <w:t xml:space="preserve">, and </w:t>
      </w:r>
      <w:r>
        <w:rPr>
          <w:rFonts w:ascii="Consolas" w:hAnsi="Consolas"/>
          <w:sz w:val="20"/>
        </w:rPr>
        <w:t>khurana2021feature</w:t>
      </w:r>
      <w:r>
        <w:t xml:space="preserve">) were removed; the Acknowledgement and Code sections were combined; and the automatic bibliography page-break was disabled (using </w:t>
      </w:r>
      <w:r>
        <w:rPr>
          <w:rFonts w:ascii="Consolas" w:hAnsi="Consolas"/>
          <w:sz w:val="20"/>
        </w:rPr>
        <w:t>\let\clearpage\relax</w:t>
      </w:r>
      <w:r>
        <w:t xml:space="preserve"> with a compressed </w:t>
      </w:r>
      <w:r>
        <w:rPr>
          <w:rFonts w:ascii="Consolas" w:hAnsi="Consolas"/>
          <w:sz w:val="20"/>
        </w:rPr>
        <w:t>\bibsep</w:t>
      </w:r>
      <w:r>
        <w:t xml:space="preserve"> of </w:t>
      </w:r>
      <w:r>
        <w:rPr>
          <w:rFonts w:ascii="Consolas" w:hAnsi="Consolas"/>
          <w:sz w:val="20"/>
        </w:rPr>
        <w:t>1.5pt</w:t>
      </w:r>
      <w:r>
        <w:t>) to start the References on the same page.</w:t>
      </w:r>
    </w:p>
    <w:p w14:paraId="36C9E620" w14:textId="77777777" w:rsidR="00437170" w:rsidRDefault="00000000">
      <w:r>
        <w:rPr>
          <w:color w:val="808080"/>
        </w:rPr>
        <w:t>————————————————————————————————————————</w:t>
      </w:r>
    </w:p>
    <w:p w14:paraId="7A8E33B0" w14:textId="77777777" w:rsidR="00437170" w:rsidRDefault="00000000">
      <w:pPr>
        <w:pStyle w:val="Heading2"/>
      </w:pPr>
      <w:r>
        <w:t>Part 2: Point-by-Point Response to Reviewer Comments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4320"/>
        <w:gridCol w:w="4320"/>
      </w:tblGrid>
      <w:tr w:rsidR="00437170" w14:paraId="39AA23D9" w14:textId="77777777">
        <w:tc>
          <w:tcPr>
            <w:tcW w:w="720" w:type="dxa"/>
            <w:shd w:val="clear" w:color="auto" w:fill="F2F2F2"/>
          </w:tcPr>
          <w:p w14:paraId="3C61CD84" w14:textId="77777777" w:rsidR="00437170" w:rsidRDefault="00000000">
            <w:r>
              <w:rPr>
                <w:b/>
              </w:rPr>
              <w:t>#</w:t>
            </w:r>
          </w:p>
        </w:tc>
        <w:tc>
          <w:tcPr>
            <w:tcW w:w="4320" w:type="dxa"/>
            <w:shd w:val="clear" w:color="auto" w:fill="F2F2F2"/>
          </w:tcPr>
          <w:p w14:paraId="0F160E0F" w14:textId="77777777" w:rsidR="00437170" w:rsidRDefault="00000000">
            <w:r>
              <w:rPr>
                <w:b/>
              </w:rPr>
              <w:t>Reviewer Comment</w:t>
            </w:r>
          </w:p>
        </w:tc>
        <w:tc>
          <w:tcPr>
            <w:tcW w:w="4320" w:type="dxa"/>
            <w:shd w:val="clear" w:color="auto" w:fill="F2F2F2"/>
          </w:tcPr>
          <w:p w14:paraId="5C260567" w14:textId="77777777" w:rsidR="00437170" w:rsidRDefault="00000000">
            <w:r>
              <w:rPr>
                <w:b/>
              </w:rPr>
              <w:t>Action Taken &amp; Manuscript Location</w:t>
            </w:r>
          </w:p>
        </w:tc>
      </w:tr>
      <w:tr w:rsidR="00437170" w14:paraId="0E6FFBD1" w14:textId="77777777">
        <w:tc>
          <w:tcPr>
            <w:tcW w:w="720" w:type="dxa"/>
          </w:tcPr>
          <w:p w14:paraId="4F2E1718" w14:textId="77777777" w:rsidR="00437170" w:rsidRDefault="00000000">
            <w:r>
              <w:t>---</w:t>
            </w:r>
          </w:p>
        </w:tc>
        <w:tc>
          <w:tcPr>
            <w:tcW w:w="4320" w:type="dxa"/>
          </w:tcPr>
          <w:p w14:paraId="3638D6B3" w14:textId="77777777" w:rsidR="00437170" w:rsidRDefault="00000000">
            <w:r>
              <w:t>---</w:t>
            </w:r>
          </w:p>
        </w:tc>
        <w:tc>
          <w:tcPr>
            <w:tcW w:w="4320" w:type="dxa"/>
          </w:tcPr>
          <w:p w14:paraId="3D9168D8" w14:textId="77777777" w:rsidR="00437170" w:rsidRDefault="00000000">
            <w:r>
              <w:t>---</w:t>
            </w:r>
          </w:p>
        </w:tc>
      </w:tr>
      <w:tr w:rsidR="00437170" w14:paraId="0594BDEE" w14:textId="77777777">
        <w:tc>
          <w:tcPr>
            <w:tcW w:w="720" w:type="dxa"/>
          </w:tcPr>
          <w:p w14:paraId="791C3021" w14:textId="77777777" w:rsidR="00437170" w:rsidRDefault="00000000">
            <w:r>
              <w:rPr>
                <w:b/>
              </w:rPr>
              <w:t>1</w:t>
            </w:r>
          </w:p>
        </w:tc>
        <w:tc>
          <w:tcPr>
            <w:tcW w:w="4320" w:type="dxa"/>
          </w:tcPr>
          <w:p w14:paraId="496F4C76" w14:textId="77777777" w:rsidR="00437170" w:rsidRDefault="00000000">
            <w:r>
              <w:t>Strengthen the novelty statement by clearly highlighting the unique contributions and advantages over existing approaches.</w:t>
            </w:r>
          </w:p>
        </w:tc>
        <w:tc>
          <w:tcPr>
            <w:tcW w:w="4320" w:type="dxa"/>
          </w:tcPr>
          <w:p w14:paraId="4DD5290D" w14:textId="77777777" w:rsidR="00437170" w:rsidRDefault="00000000">
            <w:r>
              <w:t>Revised Section 2.5 ("Research Gap and Contribution") to explicitly highlight how MetaFlow uses metadata as *hard constraints* to prune search space *before* training, rather than just warm-starting optimization.</w:t>
            </w:r>
          </w:p>
        </w:tc>
      </w:tr>
      <w:tr w:rsidR="00437170" w14:paraId="41D50525" w14:textId="77777777">
        <w:tc>
          <w:tcPr>
            <w:tcW w:w="720" w:type="dxa"/>
          </w:tcPr>
          <w:p w14:paraId="3646FDA6" w14:textId="77777777" w:rsidR="00437170" w:rsidRDefault="00000000">
            <w:r>
              <w:rPr>
                <w:b/>
              </w:rPr>
              <w:t>2</w:t>
            </w:r>
          </w:p>
        </w:tc>
        <w:tc>
          <w:tcPr>
            <w:tcW w:w="4320" w:type="dxa"/>
          </w:tcPr>
          <w:p w14:paraId="5C7D86E5" w14:textId="77777777" w:rsidR="00437170" w:rsidRDefault="00000000">
            <w:r>
              <w:t>Expand the literature review with recent studies (2023–2025) to better position the work within the current research landscape.</w:t>
            </w:r>
          </w:p>
        </w:tc>
        <w:tc>
          <w:tcPr>
            <w:tcW w:w="4320" w:type="dxa"/>
          </w:tcPr>
          <w:p w14:paraId="56ACE4DE" w14:textId="77777777" w:rsidR="00437170" w:rsidRDefault="00000000">
            <w:r>
              <w:t>Added Section 2.4 ("Domain-Specific Implementations") citing 6 new references from 2023–2025 (</w:t>
            </w:r>
            <w:r>
              <w:rPr>
                <w:rFonts w:ascii="Consolas" w:hAnsi="Consolas"/>
                <w:sz w:val="20"/>
              </w:rPr>
              <w:t>dhaked2023power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narayanan2024improved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dhaked2025ensemble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dhaked2025prediction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dhaked2025recent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dhaked2025exploring</w:t>
            </w:r>
            <w:r>
              <w:t>).</w:t>
            </w:r>
          </w:p>
        </w:tc>
      </w:tr>
      <w:tr w:rsidR="00437170" w14:paraId="45500CA1" w14:textId="77777777">
        <w:tc>
          <w:tcPr>
            <w:tcW w:w="720" w:type="dxa"/>
          </w:tcPr>
          <w:p w14:paraId="243336E2" w14:textId="77777777" w:rsidR="00437170" w:rsidRDefault="00000000">
            <w:r>
              <w:rPr>
                <w:b/>
              </w:rPr>
              <w:t>3</w:t>
            </w:r>
          </w:p>
        </w:tc>
        <w:tc>
          <w:tcPr>
            <w:tcW w:w="4320" w:type="dxa"/>
          </w:tcPr>
          <w:p w14:paraId="5BCD38CB" w14:textId="77777777" w:rsidR="00437170" w:rsidRDefault="00000000">
            <w:r>
              <w:t>Provide a more detailed description of the dataset, including size, feature characteristics, preprocessing steps, and class distribution.</w:t>
            </w:r>
          </w:p>
        </w:tc>
        <w:tc>
          <w:tcPr>
            <w:tcW w:w="4320" w:type="dxa"/>
          </w:tcPr>
          <w:p w14:paraId="6B08A287" w14:textId="77777777" w:rsidR="00437170" w:rsidRDefault="00000000">
            <w:r>
              <w:t>Updated Section 4.1 to detail sample sizes, categorical/numerical feature split, target distributions (including minority class percentage for D2 and class counts for D3), and specific preprocessing pipelines.</w:t>
            </w:r>
          </w:p>
        </w:tc>
      </w:tr>
      <w:tr w:rsidR="00437170" w14:paraId="246140C6" w14:textId="77777777">
        <w:tc>
          <w:tcPr>
            <w:tcW w:w="720" w:type="dxa"/>
          </w:tcPr>
          <w:p w14:paraId="2B01526F" w14:textId="77777777" w:rsidR="00437170" w:rsidRDefault="00000000">
            <w:r>
              <w:rPr>
                <w:b/>
              </w:rPr>
              <w:t>4</w:t>
            </w:r>
          </w:p>
        </w:tc>
        <w:tc>
          <w:tcPr>
            <w:tcW w:w="4320" w:type="dxa"/>
          </w:tcPr>
          <w:p w14:paraId="6CC42CE9" w14:textId="77777777" w:rsidR="00437170" w:rsidRDefault="00000000">
            <w:r>
              <w:t>Compare the proposed method with additional state-of-the-art techniques to demonstrate its effectiveness comprehensively.</w:t>
            </w:r>
          </w:p>
        </w:tc>
        <w:tc>
          <w:tcPr>
            <w:tcW w:w="4320" w:type="dxa"/>
          </w:tcPr>
          <w:p w14:paraId="3CFBD683" w14:textId="77777777" w:rsidR="00437170" w:rsidRDefault="00000000">
            <w:r>
              <w:t>Positioned MetaFlow relative to state-of-the-art AutoML systems (</w:t>
            </w:r>
            <w:r>
              <w:rPr>
                <w:b/>
              </w:rPr>
              <w:t>FLAML</w:t>
            </w:r>
            <w:r>
              <w:t xml:space="preserve"> and </w:t>
            </w:r>
            <w:r>
              <w:rPr>
                <w:b/>
              </w:rPr>
              <w:t>TPOT</w:t>
            </w:r>
            <w:r>
              <w:t>) in Section 2 (Related Work), explaining how MetaFlow uses metadata-driven hard constraints to prune the search space before training to achieve a ~67\% reduction in evaluations.</w:t>
            </w:r>
          </w:p>
        </w:tc>
      </w:tr>
      <w:tr w:rsidR="00437170" w14:paraId="3021E5AA" w14:textId="77777777">
        <w:tc>
          <w:tcPr>
            <w:tcW w:w="720" w:type="dxa"/>
          </w:tcPr>
          <w:p w14:paraId="41FEB5F6" w14:textId="77777777" w:rsidR="00437170" w:rsidRDefault="00000000">
            <w:r>
              <w:rPr>
                <w:b/>
              </w:rPr>
              <w:t>5</w:t>
            </w:r>
          </w:p>
        </w:tc>
        <w:tc>
          <w:tcPr>
            <w:tcW w:w="4320" w:type="dxa"/>
          </w:tcPr>
          <w:p w14:paraId="63976386" w14:textId="77777777" w:rsidR="00437170" w:rsidRDefault="00000000">
            <w:r>
              <w:t>Clarify the experimental setup, including train-test split, cross-validation strategy, and hyperparameter selection.</w:t>
            </w:r>
          </w:p>
        </w:tc>
        <w:tc>
          <w:tcPr>
            <w:tcW w:w="4320" w:type="dxa"/>
          </w:tcPr>
          <w:p w14:paraId="41D1FE9F" w14:textId="77777777" w:rsidR="00437170" w:rsidRDefault="00000000">
            <w:r>
              <w:t>Expanded Section 3.6 ("Training, Evaluation, and Selection") to define the 80/20 stratified split, 5-fold cross-validation, and grid search parameter ranges for Random Forest, XGBoost, and LightGBM.</w:t>
            </w:r>
          </w:p>
        </w:tc>
      </w:tr>
      <w:tr w:rsidR="00437170" w14:paraId="7472AACA" w14:textId="77777777">
        <w:tc>
          <w:tcPr>
            <w:tcW w:w="720" w:type="dxa"/>
          </w:tcPr>
          <w:p w14:paraId="1F7484AD" w14:textId="77777777" w:rsidR="00437170" w:rsidRDefault="00000000">
            <w:r>
              <w:rPr>
                <w:b/>
              </w:rPr>
              <w:t>6</w:t>
            </w:r>
          </w:p>
        </w:tc>
        <w:tc>
          <w:tcPr>
            <w:tcW w:w="4320" w:type="dxa"/>
          </w:tcPr>
          <w:p w14:paraId="54129320" w14:textId="77777777" w:rsidR="00437170" w:rsidRDefault="00000000">
            <w:r>
              <w:t>Add a computational complexity analysis discussing training time, inference time, memory requirements, and scalability.</w:t>
            </w:r>
          </w:p>
        </w:tc>
        <w:tc>
          <w:tcPr>
            <w:tcW w:w="4320" w:type="dxa"/>
          </w:tcPr>
          <w:p w14:paraId="67A307E4" w14:textId="77777777" w:rsidR="00437170" w:rsidRDefault="00000000">
            <w:r>
              <w:t>Added Section 5.1 ("Computational Complexity Analysis") outlining time and memory complexities of each stage and discuss scalability on large datasets.</w:t>
            </w:r>
          </w:p>
        </w:tc>
      </w:tr>
      <w:tr w:rsidR="00437170" w14:paraId="7BFCD1BF" w14:textId="77777777">
        <w:tc>
          <w:tcPr>
            <w:tcW w:w="720" w:type="dxa"/>
          </w:tcPr>
          <w:p w14:paraId="6E0EF5F9" w14:textId="77777777" w:rsidR="00437170" w:rsidRDefault="00000000">
            <w:r>
              <w:rPr>
                <w:b/>
              </w:rPr>
              <w:t>7</w:t>
            </w:r>
          </w:p>
        </w:tc>
        <w:tc>
          <w:tcPr>
            <w:tcW w:w="4320" w:type="dxa"/>
          </w:tcPr>
          <w:p w14:paraId="4EFF558E" w14:textId="77777777" w:rsidR="00437170" w:rsidRDefault="00000000">
            <w:r>
              <w:t>Include a dedicated section discussing the limitations of the proposed method and potential challenges in practical deployment.</w:t>
            </w:r>
          </w:p>
        </w:tc>
        <w:tc>
          <w:tcPr>
            <w:tcW w:w="4320" w:type="dxa"/>
          </w:tcPr>
          <w:p w14:paraId="34820B6B" w14:textId="77777777" w:rsidR="00437170" w:rsidRDefault="00000000">
            <w:r>
              <w:t>Added Section 5.2 ("Limitations and Deployment Challenges") covering heuristic dependencies, lack of unstructured data support, and production challenges like schema drift.</w:t>
            </w:r>
          </w:p>
        </w:tc>
      </w:tr>
      <w:tr w:rsidR="00437170" w14:paraId="24CC0695" w14:textId="77777777">
        <w:tc>
          <w:tcPr>
            <w:tcW w:w="720" w:type="dxa"/>
          </w:tcPr>
          <w:p w14:paraId="2D079056" w14:textId="77777777" w:rsidR="00437170" w:rsidRDefault="00000000">
            <w:r>
              <w:rPr>
                <w:b/>
              </w:rPr>
              <w:t>8</w:t>
            </w:r>
          </w:p>
        </w:tc>
        <w:tc>
          <w:tcPr>
            <w:tcW w:w="4320" w:type="dxa"/>
          </w:tcPr>
          <w:p w14:paraId="16390824" w14:textId="77777777" w:rsidR="00437170" w:rsidRDefault="00000000">
            <w:r>
              <w:t>Improve overall language quality &amp; grammar.</w:t>
            </w:r>
          </w:p>
        </w:tc>
        <w:tc>
          <w:tcPr>
            <w:tcW w:w="4320" w:type="dxa"/>
          </w:tcPr>
          <w:p w14:paraId="24F9F8D7" w14:textId="77777777" w:rsidR="00437170" w:rsidRDefault="00000000">
            <w:r>
              <w:t>Proofread the document, corrected minor typos, and resolved formatting inconsistencies.</w:t>
            </w:r>
          </w:p>
        </w:tc>
      </w:tr>
      <w:tr w:rsidR="00437170" w14:paraId="7E95D519" w14:textId="77777777">
        <w:tc>
          <w:tcPr>
            <w:tcW w:w="720" w:type="dxa"/>
          </w:tcPr>
          <w:p w14:paraId="422537A1" w14:textId="77777777" w:rsidR="00437170" w:rsidRDefault="00000000">
            <w:r>
              <w:rPr>
                <w:b/>
              </w:rPr>
              <w:t>9</w:t>
            </w:r>
          </w:p>
        </w:tc>
        <w:tc>
          <w:tcPr>
            <w:tcW w:w="4320" w:type="dxa"/>
          </w:tcPr>
          <w:p w14:paraId="28D3E97E" w14:textId="77777777" w:rsidR="00437170" w:rsidRDefault="00000000">
            <w:r>
              <w:t>Eliminate first-person &amp; conversational pronouns ("we," "our," "us," "I," "you," and "they") to maintain a formal academic style.</w:t>
            </w:r>
          </w:p>
        </w:tc>
        <w:tc>
          <w:tcPr>
            <w:tcW w:w="4320" w:type="dxa"/>
          </w:tcPr>
          <w:p w14:paraId="64B13D9E" w14:textId="77777777" w:rsidR="00437170" w:rsidRDefault="00000000">
            <w:r>
              <w:t>Conducted a complete sweep of the manuscript and eliminated all matching pronouns, rewording sentences in the passive voice or referring to "this work" or "the framework".</w:t>
            </w:r>
          </w:p>
        </w:tc>
      </w:tr>
      <w:tr w:rsidR="00437170" w14:paraId="2A3C78D4" w14:textId="77777777">
        <w:tc>
          <w:tcPr>
            <w:tcW w:w="720" w:type="dxa"/>
          </w:tcPr>
          <w:p w14:paraId="551D2634" w14:textId="77777777" w:rsidR="00437170" w:rsidRDefault="00000000">
            <w:r>
              <w:rPr>
                <w:b/>
              </w:rPr>
              <w:t>10</w:t>
            </w:r>
          </w:p>
        </w:tc>
        <w:tc>
          <w:tcPr>
            <w:tcW w:w="4320" w:type="dxa"/>
          </w:tcPr>
          <w:p w14:paraId="5A4F7820" w14:textId="77777777" w:rsidR="00437170" w:rsidRDefault="00000000">
            <w:r>
              <w:t>Add recent references to the bibliography.</w:t>
            </w:r>
          </w:p>
        </w:tc>
        <w:tc>
          <w:tcPr>
            <w:tcW w:w="4320" w:type="dxa"/>
          </w:tcPr>
          <w:p w14:paraId="35C0384B" w14:textId="77777777" w:rsidR="00437170" w:rsidRDefault="00000000">
            <w:r>
              <w:t xml:space="preserve">Added BibTeX entries for the 6 requested DOIs to </w:t>
            </w:r>
            <w:r>
              <w:rPr>
                <w:rFonts w:ascii="Consolas" w:hAnsi="Consolas"/>
                <w:sz w:val="20"/>
              </w:rPr>
              <w:t>references.bib</w:t>
            </w:r>
            <w:r>
              <w:t xml:space="preserve"> and cited them in Section 2.4.</w:t>
            </w:r>
          </w:p>
        </w:tc>
      </w:tr>
    </w:tbl>
    <w:p w14:paraId="6CF41FD9" w14:textId="77777777" w:rsidR="00437170" w:rsidRDefault="00437170"/>
    <w:sectPr w:rsidR="0043717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931500">
    <w:abstractNumId w:val="8"/>
  </w:num>
  <w:num w:numId="2" w16cid:durableId="1770813689">
    <w:abstractNumId w:val="6"/>
  </w:num>
  <w:num w:numId="3" w16cid:durableId="129178834">
    <w:abstractNumId w:val="5"/>
  </w:num>
  <w:num w:numId="4" w16cid:durableId="434443319">
    <w:abstractNumId w:val="4"/>
  </w:num>
  <w:num w:numId="5" w16cid:durableId="1398943502">
    <w:abstractNumId w:val="7"/>
  </w:num>
  <w:num w:numId="6" w16cid:durableId="768965318">
    <w:abstractNumId w:val="3"/>
  </w:num>
  <w:num w:numId="7" w16cid:durableId="427703427">
    <w:abstractNumId w:val="2"/>
  </w:num>
  <w:num w:numId="8" w16cid:durableId="756748983">
    <w:abstractNumId w:val="1"/>
  </w:num>
  <w:num w:numId="9" w16cid:durableId="126217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170"/>
    <w:rsid w:val="004505F4"/>
    <w:rsid w:val="006F5385"/>
    <w:rsid w:val="009A4B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E37F9"/>
  <w14:defaultImageDpi w14:val="300"/>
  <w15:docId w15:val="{8683AE4B-A329-4EEC-973B-390900D81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1068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kakadiya</cp:lastModifiedBy>
  <cp:revision>7</cp:revision>
  <cp:lastPrinted>2026-06-30T10:04:00Z</cp:lastPrinted>
  <dcterms:created xsi:type="dcterms:W3CDTF">2013-12-23T23:15:00Z</dcterms:created>
  <dcterms:modified xsi:type="dcterms:W3CDTF">2026-06-30T10:04:00Z</dcterms:modified>
  <cp:category/>
</cp:coreProperties>
</file>