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
        <w:gridCol w:w="1257"/>
        <w:gridCol w:w="1017"/>
        <w:gridCol w:w="1383"/>
      </w:tblGrid>
      <w:tr w:rsidR="009C692D" w:rsidRPr="009C692D" w14:paraId="62A67CD6" w14:textId="77777777" w:rsidTr="00B17F4E">
        <w:trPr>
          <w:trHeight w:val="365"/>
          <w:jc w:val="center"/>
        </w:trPr>
        <w:tc>
          <w:tcPr>
            <w:tcW w:w="508" w:type="dxa"/>
            <w:tcBorders>
              <w:top w:val="single" w:sz="4" w:space="0" w:color="auto"/>
            </w:tcBorders>
          </w:tcPr>
          <w:p w14:paraId="15BCD25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SN.</w:t>
            </w:r>
          </w:p>
        </w:tc>
        <w:tc>
          <w:tcPr>
            <w:tcW w:w="1257" w:type="dxa"/>
            <w:tcBorders>
              <w:top w:val="single" w:sz="4" w:space="0" w:color="auto"/>
            </w:tcBorders>
          </w:tcPr>
          <w:p w14:paraId="07DE61E6"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 Type</w:t>
            </w:r>
          </w:p>
        </w:tc>
        <w:tc>
          <w:tcPr>
            <w:tcW w:w="1017" w:type="dxa"/>
            <w:tcBorders>
              <w:top w:val="single" w:sz="4" w:space="0" w:color="auto"/>
            </w:tcBorders>
          </w:tcPr>
          <w:p w14:paraId="795E658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Seismic Zone</w:t>
            </w:r>
          </w:p>
        </w:tc>
        <w:tc>
          <w:tcPr>
            <w:tcW w:w="1383" w:type="dxa"/>
            <w:tcBorders>
              <w:top w:val="single" w:sz="4" w:space="0" w:color="auto"/>
            </w:tcBorders>
          </w:tcPr>
          <w:p w14:paraId="356AF0D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Displacement</w:t>
            </w:r>
          </w:p>
        </w:tc>
      </w:tr>
      <w:tr w:rsidR="009C692D" w:rsidRPr="009C692D" w14:paraId="582A2694" w14:textId="77777777" w:rsidTr="00B17F4E">
        <w:trPr>
          <w:jc w:val="center"/>
        </w:trPr>
        <w:tc>
          <w:tcPr>
            <w:tcW w:w="508" w:type="dxa"/>
          </w:tcPr>
          <w:p w14:paraId="28100CF0"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w:t>
            </w:r>
          </w:p>
        </w:tc>
        <w:tc>
          <w:tcPr>
            <w:tcW w:w="1257" w:type="dxa"/>
          </w:tcPr>
          <w:p w14:paraId="0ACD1BF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Model-A</w:t>
            </w:r>
          </w:p>
        </w:tc>
        <w:tc>
          <w:tcPr>
            <w:tcW w:w="1017" w:type="dxa"/>
            <w:vAlign w:val="center"/>
          </w:tcPr>
          <w:p w14:paraId="79B5D4B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vAlign w:val="center"/>
          </w:tcPr>
          <w:p w14:paraId="4FADC34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10.044 mm</w:t>
            </w:r>
          </w:p>
        </w:tc>
      </w:tr>
      <w:tr w:rsidR="009C692D" w:rsidRPr="009C692D" w14:paraId="6D2A96D3" w14:textId="77777777" w:rsidTr="00B17F4E">
        <w:trPr>
          <w:jc w:val="center"/>
        </w:trPr>
        <w:tc>
          <w:tcPr>
            <w:tcW w:w="508" w:type="dxa"/>
          </w:tcPr>
          <w:p w14:paraId="6416F22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2</w:t>
            </w:r>
          </w:p>
        </w:tc>
        <w:tc>
          <w:tcPr>
            <w:tcW w:w="1257" w:type="dxa"/>
          </w:tcPr>
          <w:p w14:paraId="5F549BB5"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Model-B</w:t>
            </w:r>
          </w:p>
        </w:tc>
        <w:tc>
          <w:tcPr>
            <w:tcW w:w="1017" w:type="dxa"/>
            <w:vAlign w:val="center"/>
          </w:tcPr>
          <w:p w14:paraId="4BE64AEA"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 xml:space="preserve">4 </w:t>
            </w:r>
          </w:p>
        </w:tc>
        <w:tc>
          <w:tcPr>
            <w:tcW w:w="1383" w:type="dxa"/>
            <w:vAlign w:val="center"/>
          </w:tcPr>
          <w:p w14:paraId="5CD4DCE1"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11.335 mm</w:t>
            </w:r>
          </w:p>
        </w:tc>
      </w:tr>
      <w:tr w:rsidR="009C692D" w:rsidRPr="009C692D" w14:paraId="626D4AC4" w14:textId="77777777" w:rsidTr="00B17F4E">
        <w:trPr>
          <w:jc w:val="center"/>
        </w:trPr>
        <w:tc>
          <w:tcPr>
            <w:tcW w:w="508" w:type="dxa"/>
          </w:tcPr>
          <w:p w14:paraId="15E91CD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3</w:t>
            </w:r>
          </w:p>
        </w:tc>
        <w:tc>
          <w:tcPr>
            <w:tcW w:w="1257" w:type="dxa"/>
          </w:tcPr>
          <w:p w14:paraId="2B04CF4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Model-C</w:t>
            </w:r>
          </w:p>
        </w:tc>
        <w:tc>
          <w:tcPr>
            <w:tcW w:w="1017" w:type="dxa"/>
            <w:vAlign w:val="center"/>
          </w:tcPr>
          <w:p w14:paraId="7291C3B1"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vAlign w:val="center"/>
          </w:tcPr>
          <w:p w14:paraId="5D0D4DC4"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10.248 mm</w:t>
            </w:r>
          </w:p>
        </w:tc>
      </w:tr>
      <w:tr w:rsidR="009C692D" w:rsidRPr="009C692D" w14:paraId="4F855C0E" w14:textId="77777777" w:rsidTr="00B17F4E">
        <w:trPr>
          <w:trHeight w:val="62"/>
          <w:jc w:val="center"/>
        </w:trPr>
        <w:tc>
          <w:tcPr>
            <w:tcW w:w="508" w:type="dxa"/>
          </w:tcPr>
          <w:p w14:paraId="15DA36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257" w:type="dxa"/>
          </w:tcPr>
          <w:p w14:paraId="6F7C766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Model-D</w:t>
            </w:r>
          </w:p>
        </w:tc>
        <w:tc>
          <w:tcPr>
            <w:tcW w:w="1017" w:type="dxa"/>
          </w:tcPr>
          <w:p w14:paraId="14D830BB"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44D2369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11.364 mm</w:t>
            </w:r>
          </w:p>
        </w:tc>
      </w:tr>
      <w:tr w:rsidR="009C692D" w:rsidRPr="009C692D" w14:paraId="73CF7EAE" w14:textId="77777777" w:rsidTr="00B17F4E">
        <w:trPr>
          <w:trHeight w:val="62"/>
          <w:jc w:val="center"/>
        </w:trPr>
        <w:tc>
          <w:tcPr>
            <w:tcW w:w="508" w:type="dxa"/>
          </w:tcPr>
          <w:p w14:paraId="4A29621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5</w:t>
            </w:r>
          </w:p>
        </w:tc>
        <w:tc>
          <w:tcPr>
            <w:tcW w:w="1257" w:type="dxa"/>
          </w:tcPr>
          <w:p w14:paraId="30A4365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Model-E</w:t>
            </w:r>
          </w:p>
        </w:tc>
        <w:tc>
          <w:tcPr>
            <w:tcW w:w="1017" w:type="dxa"/>
          </w:tcPr>
          <w:p w14:paraId="26C56D5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7F0166B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12.16 mm</w:t>
            </w:r>
          </w:p>
        </w:tc>
      </w:tr>
      <w:tr w:rsidR="009C692D" w:rsidRPr="009C692D" w14:paraId="59E083D4" w14:textId="77777777" w:rsidTr="00B17F4E">
        <w:trPr>
          <w:trHeight w:val="62"/>
          <w:jc w:val="center"/>
        </w:trPr>
        <w:tc>
          <w:tcPr>
            <w:tcW w:w="508" w:type="dxa"/>
          </w:tcPr>
          <w:p w14:paraId="7A3BDC8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6</w:t>
            </w:r>
          </w:p>
        </w:tc>
        <w:tc>
          <w:tcPr>
            <w:tcW w:w="1257" w:type="dxa"/>
          </w:tcPr>
          <w:p w14:paraId="658943D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Model-F</w:t>
            </w:r>
          </w:p>
        </w:tc>
        <w:tc>
          <w:tcPr>
            <w:tcW w:w="1017" w:type="dxa"/>
          </w:tcPr>
          <w:p w14:paraId="5DFBC274"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1E5FBCF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10.99 mm</w:t>
            </w:r>
          </w:p>
        </w:tc>
      </w:tr>
      <w:tr w:rsidR="009C692D" w:rsidRPr="009C692D" w14:paraId="2CF88C20" w14:textId="77777777" w:rsidTr="00B17F4E">
        <w:trPr>
          <w:trHeight w:val="62"/>
          <w:jc w:val="center"/>
        </w:trPr>
        <w:tc>
          <w:tcPr>
            <w:tcW w:w="508" w:type="dxa"/>
          </w:tcPr>
          <w:p w14:paraId="152E35C8"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7</w:t>
            </w:r>
          </w:p>
        </w:tc>
        <w:tc>
          <w:tcPr>
            <w:tcW w:w="1257" w:type="dxa"/>
          </w:tcPr>
          <w:p w14:paraId="28D2045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Model-G</w:t>
            </w:r>
          </w:p>
        </w:tc>
        <w:tc>
          <w:tcPr>
            <w:tcW w:w="1017" w:type="dxa"/>
          </w:tcPr>
          <w:p w14:paraId="1BFE1AE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7E5C10A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11.29mm</w:t>
            </w:r>
          </w:p>
        </w:tc>
      </w:tr>
      <w:tr w:rsidR="009C692D" w:rsidRPr="009C692D" w14:paraId="56B78ADF" w14:textId="77777777" w:rsidTr="00B17F4E">
        <w:trPr>
          <w:trHeight w:val="62"/>
          <w:jc w:val="center"/>
        </w:trPr>
        <w:tc>
          <w:tcPr>
            <w:tcW w:w="508" w:type="dxa"/>
          </w:tcPr>
          <w:p w14:paraId="562461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8</w:t>
            </w:r>
          </w:p>
        </w:tc>
        <w:tc>
          <w:tcPr>
            <w:tcW w:w="1257" w:type="dxa"/>
          </w:tcPr>
          <w:p w14:paraId="4CD03A38"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Model-H</w:t>
            </w:r>
          </w:p>
        </w:tc>
        <w:tc>
          <w:tcPr>
            <w:tcW w:w="1017" w:type="dxa"/>
          </w:tcPr>
          <w:p w14:paraId="6B56543A"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69EA25C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13.20mm</w:t>
            </w:r>
          </w:p>
        </w:tc>
      </w:tr>
      <w:tr w:rsidR="00DA52F4" w:rsidRPr="009C692D" w14:paraId="3E91BC1C" w14:textId="77777777" w:rsidTr="00B17F4E">
        <w:trPr>
          <w:trHeight w:val="62"/>
          <w:jc w:val="center"/>
        </w:trPr>
        <w:tc>
          <w:tcPr>
            <w:tcW w:w="508" w:type="dxa"/>
          </w:tcPr>
          <w:p w14:paraId="5A576F7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9</w:t>
            </w:r>
          </w:p>
        </w:tc>
        <w:tc>
          <w:tcPr>
            <w:tcW w:w="1257" w:type="dxa"/>
          </w:tcPr>
          <w:p w14:paraId="675C1B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Model-I</w:t>
            </w:r>
          </w:p>
        </w:tc>
        <w:tc>
          <w:tcPr>
            <w:tcW w:w="1017" w:type="dxa"/>
          </w:tcPr>
          <w:p w14:paraId="53AAD17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5B32952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9.2mm</w:t>
            </w:r>
          </w:p>
        </w:tc>
      </w:tr>
    </w:tbl>
    <w:p>
      <w:pPr>
        <w:jc w:val="center"/>
      </w:pPr>
      <w:r>
        <w:rPr>
          <w:rFonts w:ascii="Cambria" w:hAnsi="Cambria"/>
          <w:b/>
          <w:sz w:val="28"/>
        </w:rPr>
        <w:t>AgriTrace: A Real-Time Agricultural Waste Tracking and Management Ecosystem providing Sustainable Solutions to Crop Residue Burning</w:t>
      </w:r>
    </w:p>
    <w:p>
      <w:pPr>
        <w:jc w:val="center"/>
      </w:pPr>
      <w:r>
        <w:rPr>
          <w:rFonts w:ascii="Cambria" w:hAnsi="Cambria"/>
          <w:b/>
          <w:sz w:val="24"/>
        </w:rPr>
        <w:t>Rahul Tukaram Shendkar*1, Tushar Tulashidas Pawar*2, Karan Naganath Bandgar*3, Saurabh Balasaheb Zendage*4</w:t>
      </w:r>
    </w:p>
    <w:p>
      <w:pPr>
        <w:jc w:val="center"/>
      </w:pPr>
      <w:r>
        <w:rPr>
          <w:rFonts w:ascii="Cambria" w:hAnsi="Cambria"/>
          <w:b w:val="0"/>
          <w:sz w:val="22"/>
        </w:rPr>
        <w:t>*1,*2,*3,*4 Student, Department of Computer Engineering, S.P.M Polytechnic Kumathe, Solapur, Maharashtra, India</w:t>
      </w:r>
    </w:p>
    <w:p>
      <w:pPr/>
      <w:r>
        <w:rPr>
          <w:rFonts w:ascii="Cambria" w:hAnsi="Cambria"/>
          <w:b/>
          <w:sz w:val="24"/>
        </w:rPr>
        <w:t>ABSTRACT</w:t>
      </w:r>
    </w:p>
    <w:p>
      <w:pPr>
        <w:jc w:val="both"/>
      </w:pPr>
      <w:r>
        <w:rPr>
          <w:rFonts w:ascii="Times New Roman" w:hAnsi="Times New Roman"/>
          <w:b w:val="0"/>
          <w:sz w:val="20"/>
        </w:rPr>
        <w:t>AgriTrace is a comprehensive, full-stack web application designed to address the pressing issue of agricultural waste management in India. The platform provides a digital ecosystem connecting farmers, collection agents, and recycling administrators through a role-based system built on modern web technologies. The system enables farmers to list agricultural waste such as wheat stubble and rice residue, while collection agents manage the pickup-to-delivery workflow. Key features include real-time tracking with GPS services, an integrated payment workflow via Razorpay, and a carbon credit tracking system that quantifies environmental impact. Built with Next.js, Firebase, and Tailwind CSS, AgriTrace contributes to environmental sustainability by diverting waste from open burning toward productive recycling channels.</w:t>
      </w:r>
    </w:p>
    <w:p>
      <w:pPr/>
      <w:r>
        <w:rPr>
          <w:rFonts w:ascii="Cambria" w:hAnsi="Cambria"/>
          <w:b w:val="0"/>
          <w:sz w:val="20"/>
        </w:rPr>
        <w:t>Keywords: Agricultural Waste, Web Application, Next.js, Firebase, Carbon Credits.</w:t>
      </w:r>
    </w:p>
    <w:p>
      <w:pPr>
        <w:pStyle w:val="ListParagraph"/>
      </w:pPr>
      <w:r>
        <w:rPr>
          <w:rFonts w:ascii="Cambria" w:hAnsi="Cambria"/>
          <w:b/>
          <w:sz w:val="24"/>
        </w:rPr>
        <w:t>I. INTRODUCTION</w:t>
      </w:r>
    </w:p>
    <w:p>
      <w:pPr>
        <w:jc w:val="both"/>
      </w:pPr>
      <w:r>
        <w:rPr>
          <w:rFonts w:ascii="Times New Roman" w:hAnsi="Times New Roman"/>
          <w:b w:val="0"/>
          <w:sz w:val="20"/>
        </w:rPr>
        <w:t>Agricultural waste management is one of the most critical environmental challenges facing India today. Every year, approximately 500 million tonnes of crop residue is generated, out of which a significant portion is burned in open fields. This practice leads to severe air pollution, soil degradation, loss of nutrients, and contributes significantly to greenhouse gas emissions.</w:t>
      </w:r>
    </w:p>
    <w:p>
      <w:pPr>
        <w:jc w:val="both"/>
      </w:pPr>
      <w:r>
        <w:rPr>
          <w:rFonts w:ascii="Times New Roman" w:hAnsi="Times New Roman"/>
          <w:b w:val="0"/>
          <w:sz w:val="20"/>
        </w:rPr>
        <w:t>Despite the environmental and health hazards, farmers often resort to burning because they lack accessible, affordable, and convenient alternatives for waste disposal. There is a disconnect between farmers who generate waste and the recycling industries that can convert this waste into valuable products such as biofuel, compost, animal feed, and building materials.</w:t>
      </w:r>
    </w:p>
    <w:p>
      <w:pPr>
        <w:jc w:val="both"/>
      </w:pPr>
      <w:r>
        <w:rPr>
          <w:rFonts w:ascii="Times New Roman" w:hAnsi="Times New Roman"/>
          <w:b w:val="0"/>
          <w:sz w:val="20"/>
        </w:rPr>
        <w:t>AgriTrace bridges this gap by providing a digital platform that connects farmers with collection agents and recycling facilities, creating a transparent and efficient agricultural waste management ecosystem.</w:t>
      </w:r>
    </w:p>
    <w:p>
      <w:pPr>
        <w:pStyle w:val="ListParagraph"/>
      </w:pPr>
      <w:r>
        <w:rPr>
          <w:rFonts w:ascii="Cambria" w:hAnsi="Cambria"/>
          <w:b/>
          <w:sz w:val="24"/>
        </w:rPr>
        <w:t>II. METHODOLOGY</w:t>
      </w:r>
    </w:p>
    <w:p>
      <w:pPr>
        <w:jc w:val="both"/>
      </w:pPr>
      <w:r>
        <w:rPr>
          <w:rFonts w:ascii="Times New Roman" w:hAnsi="Times New Roman"/>
          <w:b w:val="0"/>
          <w:sz w:val="20"/>
        </w:rPr>
        <w:t>The system employs a three-tier architecture to maintain separation of concerns and improve maintainability.</w:t>
      </w:r>
    </w:p>
    <w:p>
      <w:pPr>
        <w:jc w:val="both"/>
      </w:pPr>
      <w:r>
        <w:rPr>
          <w:rFonts w:ascii="Times New Roman" w:hAnsi="Times New Roman"/>
          <w:b w:val="0"/>
          <w:sz w:val="20"/>
        </w:rPr>
        <w:t>1. Presentation Layer: Next.js pages and reusable React components provide role-based interfaces for Farmer, Agent, and Admin users using Tailwind CSS for responsive formatting.</w:t>
      </w:r>
    </w:p>
    <w:p>
      <w:pPr>
        <w:jc w:val="both"/>
      </w:pPr>
      <w:r>
        <w:rPr>
          <w:rFonts w:ascii="Times New Roman" w:hAnsi="Times New Roman"/>
          <w:b w:val="0"/>
          <w:sz w:val="20"/>
        </w:rPr>
        <w:t>2. Application Layer: API routes and service modules implement authentication checks, workflow transitions, notifications, and payment processing through Razorpay.</w:t>
      </w:r>
    </w:p>
    <w:p>
      <w:pPr>
        <w:jc w:val="both"/>
      </w:pPr>
      <w:r>
        <w:rPr>
          <w:rFonts w:ascii="Times New Roman" w:hAnsi="Times New Roman"/>
          <w:b w:val="0"/>
          <w:sz w:val="20"/>
        </w:rPr>
        <w:t>3. Data Layer: Firebase Firestore stores transactional data natively, Firebase Authentication manages identities, and Cloud Storage securely handles media assets generated from field verifications.</w:t>
      </w:r>
    </w:p>
    <w:p>
      <w:pPr>
        <w:jc w:val="both"/>
      </w:pPr>
      <w:r>
        <w:rPr>
          <w:rFonts w:ascii="Times New Roman" w:hAnsi="Times New Roman"/>
          <w:b w:val="0"/>
          <w:sz w:val="20"/>
        </w:rPr>
        <w:t>The development methodology followed an Agile paradigm with continuous integration, integrating interactive mapping through OpenStreetMap and geolocation workflows. Carbon credit generation was mathematically mapped utilizing standardized emission factors.</w:t>
      </w:r>
    </w:p>
    <w:p>
      <w:pPr>
        <w:pStyle w:val="ListParagraph"/>
      </w:pPr>
      <w:r>
        <w:rPr>
          <w:rFonts w:ascii="Cambria" w:hAnsi="Cambria"/>
          <w:b/>
          <w:sz w:val="24"/>
        </w:rPr>
        <w:t>III. MODELING AND ANALYSIS</w:t>
      </w:r>
    </w:p>
    <w:p>
      <w:pPr>
        <w:jc w:val="both"/>
      </w:pPr>
      <w:r>
        <w:rPr>
          <w:rFonts w:ascii="Times New Roman" w:hAnsi="Times New Roman"/>
          <w:b w:val="0"/>
          <w:sz w:val="20"/>
        </w:rPr>
        <w:t>System design involved several structural models to trace data flow and user interaction. The Level 0 Data Flow Diagram isolates the central processing engine managing requests from the Farmer, Agent, and Administrator. A robust user authentication strategy prevents unauthorized access, ensuring collection agents strictly interact with assigned waste listings through AES secured tokens. Use case diagrams clearly articulate the core capabilities allowing farmers to create listings containing quantity, price, location, and photos.</w:t>
      </w:r>
    </w:p>
    <w:p>
      <w:pPr>
        <w:pStyle w:val="ListParagraph"/>
      </w:pPr>
      <w:r>
        <w:rPr>
          <w:rFonts w:ascii="Cambria" w:hAnsi="Cambria"/>
          <w:b/>
          <w:sz w:val="24"/>
        </w:rPr>
        <w:t>IV. RESULTS AND DISCUSSION</w:t>
      </w:r>
    </w:p>
    <w:p>
      <w:pPr>
        <w:jc w:val="both"/>
      </w:pPr>
      <w:r>
        <w:rPr>
          <w:rFonts w:ascii="Times New Roman" w:hAnsi="Times New Roman"/>
          <w:b w:val="0"/>
          <w:sz w:val="20"/>
        </w:rPr>
        <w:t>The deployed AgriTrace application successfully orchestrates the entire waste tracking lifecycle in real-time. Performance testing indicated that the Firestore-backed architecture sustained page load times of under 1.2 seconds, and image validation via Cloudinary completed under 2.3 seconds over rural mobile networks.</w:t>
      </w:r>
    </w:p>
    <w:p>
      <w:pPr>
        <w:jc w:val="both"/>
      </w:pPr>
      <w:r>
        <w:rPr>
          <w:rFonts w:ascii="Times New Roman" w:hAnsi="Times New Roman"/>
          <w:b w:val="0"/>
          <w:sz w:val="20"/>
        </w:rPr>
        <w:t>The seamless integration of Razorpay ensured that farmers receive instant payment upon verified waste delivery, boosting platform trust. Furthermore, the gamified carbon tracking component visualized environmental impact, effectively logging equivalent CO2 savings from diverted residue.</w:t>
      </w:r>
    </w:p>
    <w:p>
      <w:pPr>
        <w:pStyle w:val="ListParagraph"/>
      </w:pPr>
      <w:r>
        <w:rPr>
          <w:rFonts w:ascii="Cambria" w:hAnsi="Cambria"/>
          <w:b/>
          <w:sz w:val="24"/>
        </w:rPr>
        <w:t>V. CONCLUSION</w:t>
      </w:r>
    </w:p>
    <w:p>
      <w:pPr>
        <w:jc w:val="both"/>
      </w:pPr>
      <w:r>
        <w:rPr>
          <w:rFonts w:ascii="Times New Roman" w:hAnsi="Times New Roman"/>
          <w:b w:val="0"/>
          <w:sz w:val="20"/>
        </w:rPr>
        <w:t>AgriTrace demonstrates the immense viability of deploying a digital ecosystem to aggressively tackle agricultural residue burning in India. By bridging the logistical disconnect between waste-generating farmers and recycling facilities, the platform not only curtails severe atmospheric pollution but also unlocks secondary economic value from traditionally discarded biomass. Future enhancements aim to integrate multi-language support localized for varied farming communities and direct IoT scale connectivity to fully automate verification tasks.</w:t>
      </w:r>
    </w:p>
    <w:p>
      <w:pPr/>
      <w:r>
        <w:rPr>
          <w:rFonts w:ascii="Cambria" w:hAnsi="Cambria"/>
          <w:b/>
          <w:sz w:val="24"/>
        </w:rPr>
        <w:t>ACKNOWLEDGEMENTS</w:t>
      </w:r>
    </w:p>
    <w:p>
      <w:pPr>
        <w:jc w:val="both"/>
      </w:pPr>
      <w:r>
        <w:rPr>
          <w:rFonts w:ascii="Times New Roman" w:hAnsi="Times New Roman"/>
          <w:b w:val="0"/>
          <w:sz w:val="20"/>
        </w:rPr>
        <w:t>We would like to express our deepest gratitude to our project guide Mrs. S. A. GAIKWAD for her invaluable guidance, encouragement, and continuous support throughout this research work. We also extend our thanks to the faculty members of the Computer Engineering Department at S.P.M Polytechnic Kumathe for their technical advice.</w:t>
      </w:r>
    </w:p>
    <w:p>
      <w:pPr>
        <w:pStyle w:val="ListParagraph"/>
      </w:pPr>
      <w:r>
        <w:rPr>
          <w:rFonts w:ascii="Cambria" w:hAnsi="Cambria"/>
          <w:b/>
          <w:sz w:val="24"/>
        </w:rPr>
        <w:t>VI. REFERENCES</w:t>
      </w:r>
    </w:p>
    <w:p>
      <w:pPr/>
      <w:r>
        <w:rPr>
          <w:rFonts w:ascii="Times New Roman" w:hAnsi="Times New Roman"/>
          <w:b w:val="0"/>
          <w:sz w:val="20"/>
        </w:rPr>
        <w:t>[1] Next.js Official Documentation, Versel Inc., 2023. [Online]. Available: https://nextjs.org/docs</w:t>
      </w:r>
    </w:p>
    <w:p>
      <w:pPr/>
      <w:r>
        <w:rPr>
          <w:rFonts w:ascii="Times New Roman" w:hAnsi="Times New Roman"/>
          <w:b w:val="0"/>
          <w:sz w:val="20"/>
        </w:rPr>
        <w:t>[2] Firebase Realtime Database and Authentication, Google, 2023. [Online]. Available: https://firebase.google.com/docs</w:t>
      </w:r>
    </w:p>
    <w:p>
      <w:pPr/>
      <w:r>
        <w:rPr>
          <w:rFonts w:ascii="Times New Roman" w:hAnsi="Times New Roman"/>
          <w:b w:val="0"/>
          <w:sz w:val="20"/>
        </w:rPr>
        <w:t>[3] Ministry of Agriculture and Farmers Welfare, "National Policy for Management of Crop Residues," Government of India, 2014.</w:t>
      </w:r>
    </w:p>
    <w:p>
      <w:pPr/>
      <w:r>
        <w:rPr>
          <w:rFonts w:ascii="Times New Roman" w:hAnsi="Times New Roman"/>
          <w:b w:val="0"/>
          <w:sz w:val="20"/>
        </w:rPr>
        <w:t>[4] R. Kumar, S. Sharma, and A. Singh, "IoT-Based Monitoring of Agricultural Residue Burning," IEEE Sensors Journal, Vol. 20, No. 8, 2020, PP 4523-4531.</w:t>
      </w:r>
    </w:p>
    <w:sectPr w:rsidR="006C11CA" w:rsidRPr="009C692D" w:rsidSect="00C647C5">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21539" w14:textId="77777777" w:rsidR="00FA02EE" w:rsidRDefault="00FA02EE" w:rsidP="00C556D7">
      <w:pPr>
        <w:spacing w:after="0" w:line="240" w:lineRule="auto"/>
      </w:pPr>
      <w:r>
        <w:separator/>
      </w:r>
    </w:p>
  </w:endnote>
  <w:endnote w:type="continuationSeparator" w:id="0">
    <w:p w14:paraId="733D050C" w14:textId="77777777" w:rsidR="00FA02EE" w:rsidRDefault="00FA02EE"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0493"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4DB"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F14B5" w14:textId="77777777" w:rsidR="00FA02EE" w:rsidRDefault="00FA02EE" w:rsidP="00C556D7">
      <w:pPr>
        <w:spacing w:after="0" w:line="240" w:lineRule="auto"/>
      </w:pPr>
      <w:r>
        <w:separator/>
      </w:r>
    </w:p>
  </w:footnote>
  <w:footnote w:type="continuationSeparator" w:id="0">
    <w:p w14:paraId="160B903F" w14:textId="77777777" w:rsidR="00FA02EE" w:rsidRDefault="00FA02EE"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7159"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color w:val="00B050"/>
        <w:sz w:val="24"/>
        <w:szCs w:val="24"/>
        <w:lang w:val="fr-FR" w:bidi="mr-IN"/>
      </w:rPr>
      <w:t>e-ISSN: 2582-5208</w:t>
    </w:r>
  </w:p>
  <w:p w14:paraId="28EB3036" w14:textId="259999A3"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International Research Journal of Modernization in Engineering Technology  and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r w:rsidRPr="0093570B">
      <w:rPr>
        <w:rFonts w:ascii="Times New Roman" w:hAnsi="Times New Roman" w:cs="Times New Roman"/>
        <w:b/>
        <w:color w:val="1F497D"/>
        <w:sz w:val="24"/>
        <w:szCs w:val="20"/>
        <w:lang w:bidi="mr-IN"/>
      </w:rPr>
      <w:t>( Peer-Reviewed, Open Access, Fully Refereed International Journal )</w:t>
    </w:r>
  </w:p>
  <w:p w14:paraId="50EBFB87" w14:textId="19AEBC1D"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r>
      <w:rPr>
        <w:rFonts w:ascii="Times New Roman" w:hAnsi="Times New Roman" w:cs="Times New Roman"/>
        <w:b/>
        <w:color w:val="1F497D"/>
        <w:sz w:val="24"/>
        <w:szCs w:val="20"/>
        <w:lang w:val="fr-FR" w:bidi="mr-IN"/>
      </w:rPr>
      <w:t>Volume:0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/Issue:</w:t>
    </w:r>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DF31"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5"/>
  </w:num>
  <w:num w:numId="7" w16cid:durableId="678001387">
    <w:abstractNumId w:val="1"/>
  </w:num>
  <w:num w:numId="8" w16cid:durableId="441073495">
    <w:abstractNumId w:val="19"/>
  </w:num>
  <w:num w:numId="9" w16cid:durableId="1293094266">
    <w:abstractNumId w:val="0"/>
  </w:num>
  <w:num w:numId="10" w16cid:durableId="1714236159">
    <w:abstractNumId w:val="4"/>
  </w:num>
  <w:num w:numId="11" w16cid:durableId="163669714">
    <w:abstractNumId w:val="17"/>
  </w:num>
  <w:num w:numId="12" w16cid:durableId="1354528192">
    <w:abstractNumId w:val="14"/>
  </w:num>
  <w:num w:numId="13" w16cid:durableId="1300499364">
    <w:abstractNumId w:val="10"/>
  </w:num>
  <w:num w:numId="14" w16cid:durableId="840392675">
    <w:abstractNumId w:val="3"/>
  </w:num>
  <w:num w:numId="15" w16cid:durableId="1286502267">
    <w:abstractNumId w:val="16"/>
  </w:num>
  <w:num w:numId="16" w16cid:durableId="31082199">
    <w:abstractNumId w:val="9"/>
  </w:num>
  <w:num w:numId="17" w16cid:durableId="792596368">
    <w:abstractNumId w:val="13"/>
  </w:num>
  <w:num w:numId="18" w16cid:durableId="1540359108">
    <w:abstractNumId w:val="2"/>
  </w:num>
  <w:num w:numId="19" w16cid:durableId="1634672966">
    <w:abstractNumId w:val="18"/>
  </w:num>
  <w:num w:numId="20" w16cid:durableId="40399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5ED8"/>
    <w:rsid w:val="002943C1"/>
    <w:rsid w:val="002E4877"/>
    <w:rsid w:val="002E72CF"/>
    <w:rsid w:val="002E7408"/>
    <w:rsid w:val="002F3187"/>
    <w:rsid w:val="002F43A5"/>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26D4"/>
    <w:rsid w:val="004A52B3"/>
    <w:rsid w:val="004B0E1D"/>
    <w:rsid w:val="004C2ECF"/>
    <w:rsid w:val="004D5813"/>
    <w:rsid w:val="004D5DC8"/>
    <w:rsid w:val="004D5FF5"/>
    <w:rsid w:val="004D6948"/>
    <w:rsid w:val="00505045"/>
    <w:rsid w:val="005165E7"/>
    <w:rsid w:val="00524B78"/>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5648"/>
    <w:rsid w:val="00861EE8"/>
    <w:rsid w:val="008741D3"/>
    <w:rsid w:val="00874DBE"/>
    <w:rsid w:val="00880D03"/>
    <w:rsid w:val="008A72D8"/>
    <w:rsid w:val="008A74F7"/>
    <w:rsid w:val="008B5B88"/>
    <w:rsid w:val="008C7F5F"/>
    <w:rsid w:val="008D1F25"/>
    <w:rsid w:val="008D4A85"/>
    <w:rsid w:val="009039C1"/>
    <w:rsid w:val="0090504D"/>
    <w:rsid w:val="00905466"/>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ARUN DESHWALI</cp:lastModifiedBy>
  <cp:revision>10</cp:revision>
  <cp:lastPrinted>2020-08-02T14:25:00Z</cp:lastPrinted>
  <dcterms:created xsi:type="dcterms:W3CDTF">2023-09-02T03:39:00Z</dcterms:created>
  <dcterms:modified xsi:type="dcterms:W3CDTF">2026-02-27T18:01:00Z</dcterms:modified>
</cp:coreProperties>
</file>