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II: Results, Comparison and Conclusion</w:t>
      </w:r>
    </w:p>
    <w:p>
      <w:pPr>
        <w:spacing w:after="40"/>
        <w:jc w:val="center"/>
      </w:pPr>
      <w:r>
        <w:rPr>
          <w:rFonts w:ascii="Times New Roman" w:cs="Times New Roman" w:eastAsia="Times New Roman" w:hAnsi="Times New Roman"/>
          <w:b/>
          <w:bCs/>
          <w:sz w:val="22"/>
          <w:szCs w:val="22"/>
        </w:rPr>
        <w:t xml:space="preserve">Shifali Doshi*1</w:t>
      </w:r>
    </w:p>
    <w:p>
      <w:pPr>
        <w:spacing w:after="20"/>
        <w:jc w:val="center"/>
      </w:pPr>
      <w:r>
        <w:rPr>
          <w:rFonts w:ascii="Times New Roman" w:cs="Times New Roman" w:eastAsia="Times New Roman" w:hAnsi="Times New Roman"/>
          <w:i/>
          <w:iCs/>
          <w:sz w:val="20"/>
          <w:szCs w:val="20"/>
        </w:rPr>
        <w:t xml:space="preserve">*1[Designation],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This paper presents Part II of a two-part submission, reporting the quantitative results of the methodology proposed in Part I and comparing them numerically against the literature surveyed there. The learned scene classifier reaches 0.79 four-class accuracy versus a 0.49 rule-based baseline. Three architectures are benchmarked for wheel-count classification under an identical, leakage-free protocol: a custom convolutional network (0.787), a from-scratch CSPNeXt backbone (0.695), and an ImageNet-pretrained YOLOv8 classifier (0.861, selected). A seven-class helmet detector reaches 0.764 mean average precision at 0.50 intersection-over-union on held-out test data. Multi-frame majority voting reduces prediction flip-rate by 91.4% under measured real-world occlusion. Structured pruning combined with a brief fine-tuning step and INT8 quantization shrinks deployed models by 3.8 to 3.9 times at a measured accuracy retention of 0.98. Results are compared numerically against the systems surveyed in Part I, and every result that fell short of an initial expectation is reported with its diagnosed cause. The complete source code and trained weights are publicly available.</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Results and Discussion</w:t>
      </w:r>
    </w:p>
    <w:p>
      <w:pPr>
        <w:spacing w:after="120"/>
        <w:ind w:firstLine="240"/>
        <w:jc w:val="both"/>
      </w:pPr>
      <w:r>
        <w:rPr>
          <w:rFonts w:ascii="Times New Roman" w:cs="Times New Roman" w:eastAsia="Times New Roman" w:hAnsi="Times New Roman"/>
          <w:sz w:val="20"/>
          <w:szCs w:val="20"/>
        </w:rPr>
        <w:t xml:space="preserve">This paper reports the outcome of applying the methodology proposed in Part I: a sequential per-frame pipeline in which each frame is first classified into one of four scene conditions and enhanced accordingly, vehicles are detected and tracked with temporal majority voting on wheel count, helmet compliance is checked within tracks classified as two-wheelers, cross-camera identity is matched with an off-the-shelf re-identification backbone, and every deployable classifier is subsequently pruned, fine-tuned, and quantized for CPU deployment. Each subsection below follows the same structure -- what was measured, how, and what the result was -- ending in the numeric comparison against the literature surveyed in Part I (Section II) and the conclusion (Section III).</w:t>
      </w:r>
    </w:p>
    <w:p>
      <w:pPr>
        <w:spacing w:after="80" w:before="160"/>
        <w:jc w:val="left"/>
      </w:pPr>
      <w:r>
        <w:rPr>
          <w:rFonts w:ascii="Times New Roman" w:cs="Times New Roman" w:eastAsia="Times New Roman" w:hAnsi="Times New Roman"/>
          <w:b/>
          <w:bCs/>
          <w:i/>
          <w:iCs/>
          <w:sz w:val="20"/>
          <w:szCs w:val="20"/>
        </w:rPr>
        <w:t xml:space="preserve">A. Adaptive Preprocessing</w:t>
      </w:r>
    </w:p>
    <w:p>
      <w:pPr>
        <w:spacing w:after="120"/>
        <w:ind w:firstLine="240"/>
        <w:jc w:val="both"/>
      </w:pPr>
      <w:r>
        <w:rPr>
          <w:rFonts w:ascii="Times New Roman" w:cs="Times New Roman" w:eastAsia="Times New Roman" w:hAnsi="Times New Roman"/>
          <w:sz w:val="20"/>
          <w:szCs w:val="20"/>
        </w:rPr>
        <w:t xml:space="preserve">The learned scene classifier described in Part I (Section III-B) was evaluated on held-out real DAWN/ExDark/COCO imagery to test whether it separates the four scene conditions better than the rule-based baseline it replaces. The learned classifier reaches 0.79 four-class accuracy versus a 0.49 rule-based baseline. To rule out a dataset-provenance confound, the fog and rain pair was isolated from a single source dataset, holding provenance constant, and the model still achieved 0.68 accuracy against a 0.49 same-source baseline, evidence the model learns genuine weather signal rather than dataset fingerprints.</w:t>
      </w:r>
    </w:p>
    <w:p>
      <w:pPr>
        <w:spacing w:before="120"/>
        <w:jc w:val="center"/>
      </w:pPr>
      <w:r>
        <w:drawing>
          <wp:inline distT="0" distB="0" distL="0" distR="0">
            <wp:extent cx="2667000" cy="2000250"/>
            <wp:effectExtent t="0" r="0" b="0" l="0"/>
            <wp:docPr id="1" name="Figure 1: Four-class scene confusion matrix. Error concentrates on the fog-rain boundary, a physically overlapping condition pair." descr="Figure 1: Four-class scene confusion matrix. Error concentrates on the fog-rain boundary, a physically overlapping condition pair." title="Figure 1: Four-class scene confusion matrix. Error concentrates on the fog-rain boundary, a physically overlapping condition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Four-class scene confusion matrix. Error concentrates on the fog-rain boundary, a physically overlapping condition pair.</w:t>
      </w:r>
    </w:p>
    <w:p>
      <w:pPr>
        <w:spacing w:after="80" w:before="160"/>
        <w:jc w:val="left"/>
      </w:pPr>
      <w:r>
        <w:rPr>
          <w:rFonts w:ascii="Times New Roman" w:cs="Times New Roman" w:eastAsia="Times New Roman" w:hAnsi="Times New Roman"/>
          <w:b/>
          <w:bCs/>
          <w:i/>
          <w:iCs/>
          <w:sz w:val="20"/>
          <w:szCs w:val="20"/>
        </w:rPr>
        <w:t xml:space="preserve">B. Wheel-Count and Helmet Detection</w:t>
      </w:r>
    </w:p>
    <w:p>
      <w:pPr>
        <w:spacing w:after="120"/>
        <w:ind w:firstLine="240"/>
        <w:jc w:val="both"/>
      </w:pPr>
      <w:r>
        <w:rPr>
          <w:rFonts w:ascii="Times New Roman" w:cs="Times New Roman" w:eastAsia="Times New Roman" w:hAnsi="Times New Roman"/>
          <w:sz w:val="20"/>
          <w:szCs w:val="20"/>
        </w:rPr>
        <w:t xml:space="preserve">Following Part I's methodology (Section III-C), the three wheel-count architectures were trained and evaluated under an identical, leakage-free split, and the seven-class helmet detector was evaluated on a held-out test split never used for epoch selection. Table 1 reports the wheel-count comparison first.</w:t>
      </w:r>
    </w:p>
    <w:p>
      <w:pPr>
        <w:spacing w:after="40" w:before="80"/>
      </w:pPr>
      <w:r>
        <w:rPr>
          <w:rFonts w:ascii="Times New Roman" w:cs="Times New Roman" w:eastAsia="Times New Roman" w:hAnsi="Times New Roman"/>
          <w:b/>
          <w:bCs/>
          <w:sz w:val="18"/>
          <w:szCs w:val="18"/>
        </w:rPr>
        <w:t xml:space="preserve">Table 1. Wheel-count accuracy by architecture, leakage-free split.</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Model</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Pretrained</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SmallCNN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0.787</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RTMDet-CSPNeXt</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0.695</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YOLOv8-cls *</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0.861</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ImageNet</w:t>
            </w:r>
          </w:p>
        </w:tc>
      </w:tr>
    </w:tbl>
    <w:p>
      <w:pPr>
        <w:spacing w:after="120"/>
        <w:ind w:firstLine="240"/>
        <w:jc w:val="both"/>
      </w:pPr>
      <w:r>
        <w:rPr>
          <w:rFonts w:ascii="Times New Roman" w:cs="Times New Roman" w:eastAsia="Times New Roman" w:hAnsi="Times New Roman"/>
          <w:sz w:val="20"/>
          <w:szCs w:val="20"/>
        </w:rPr>
        <w:t xml:space="preserve">YOLOv8-cls was selected (0.861 accuracy), though the comparison is not pretraining-neutral, since its margin partly reflects transfer learning. After correcting an earlier crop-level split that leaked source-image information across train and validation, four-wheeler accuracy fell the most (from 0.81 to 0.70 F1), consistent with it being the most leakage-exposed class, while three-wheeler accuracy was unchanged (0.96 F1 before and after), confirming its score reflects genuine visual distinctiveness rather than a leakage or framing artifact.</w:t>
      </w:r>
    </w:p>
    <w:p>
      <w:pPr>
        <w:spacing w:after="120"/>
        <w:ind w:firstLine="240"/>
        <w:jc w:val="both"/>
      </w:pPr>
      <w:r>
        <w:rPr>
          <w:rFonts w:ascii="Times New Roman" w:cs="Times New Roman" w:eastAsia="Times New Roman" w:hAnsi="Times New Roman"/>
          <w:sz w:val="20"/>
          <w:szCs w:val="20"/>
        </w:rPr>
        <w:t xml:space="preserve">The helmet detector reaches 0.764 mean average precision at 0.50 intersection-over-union on held-out test data. Passenger-helmet classes are weakest (average precision 0.545 and 0.565) due to genuinely fewer training instances. A targeted threefold oversampling fix was tested and made results worse (mean average precision falling from 0.764 to 0.711), because plain duplication adds exposure without visual diversity and causes overfitting; this negative result is reported rather than omitted.</w:t>
      </w:r>
    </w:p>
    <w:p>
      <w:pPr>
        <w:spacing w:before="120"/>
        <w:jc w:val="center"/>
      </w:pPr>
      <w:r>
        <w:drawing>
          <wp:inline distT="0" distB="0" distL="0" distR="0">
            <wp:extent cx="2667000" cy="1905000"/>
            <wp:effectExtent t="0" r="0" b="0" l="0"/>
            <wp:docPr id="1" name="Figure 2: Wheel-count accuracy and macro-F1, leakage-free split." descr="Figure 2: Wheel-count accuracy and macro-F1, leakage-free split." title="Figure 2: Wheel-count accuracy and macro-F1, leakage-fre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2: Wheel-count accuracy and macro-F1, leakage-free split.</w:t>
      </w:r>
    </w:p>
    <w:p>
      <w:pPr>
        <w:spacing w:before="120"/>
        <w:jc w:val="center"/>
      </w:pPr>
      <w:r>
        <w:drawing>
          <wp:inline distT="0" distB="0" distL="0" distR="0">
            <wp:extent cx="2667000" cy="1905000"/>
            <wp:effectExtent t="0" r="0" b="0" l="0"/>
            <wp:docPr id="1" name="Figure 3: Per-class helmet average precision, held-out test split." descr="Figure 3: Per-class helmet average precision, held-out test split." title="Figure 3: Per-class helmet average precision, held-out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3: Per-class helmet average precision, held-out test split.</w:t>
      </w:r>
    </w:p>
    <w:p>
      <w:pPr>
        <w:spacing w:after="80" w:before="160"/>
        <w:jc w:val="left"/>
      </w:pPr>
      <w:r>
        <w:rPr>
          <w:rFonts w:ascii="Times New Roman" w:cs="Times New Roman" w:eastAsia="Times New Roman" w:hAnsi="Times New Roman"/>
          <w:b/>
          <w:bCs/>
          <w:i/>
          <w:iCs/>
          <w:sz w:val="20"/>
          <w:szCs w:val="20"/>
        </w:rPr>
        <w:t xml:space="preserve">C. Tracking, Voting, and Re-Identification</w:t>
      </w:r>
    </w:p>
    <w:p>
      <w:pPr>
        <w:spacing w:after="120"/>
        <w:ind w:firstLine="240"/>
        <w:jc w:val="both"/>
      </w:pPr>
      <w:r>
        <w:rPr>
          <w:rFonts w:ascii="Times New Roman" w:cs="Times New Roman" w:eastAsia="Times New Roman" w:hAnsi="Times New Roman"/>
          <w:sz w:val="20"/>
          <w:szCs w:val="20"/>
        </w:rPr>
        <w:t xml:space="preserve">The temporal majority-vote buffer described in Part I (Section III-D) was evaluated on UA-DETRAC by grouping per-frame wheel-count predictions under ground-truth track identifiers, isolating the voting effect from tracker error; the off-the-shelf re-identification backbone was separately evaluated on VeRi-776 under the standard single-camera-exclusion protocol.</w:t>
      </w:r>
    </w:p>
    <w:p>
      <w:pPr>
        <w:spacing w:after="120"/>
        <w:ind w:firstLine="240"/>
        <w:jc w:val="both"/>
      </w:pPr>
      <w:r>
        <w:rPr>
          <w:rFonts w:ascii="Times New Roman" w:cs="Times New Roman" w:eastAsia="Times New Roman" w:hAnsi="Times New Roman"/>
          <w:sz w:val="20"/>
          <w:szCs w:val="20"/>
        </w:rPr>
        <w:t xml:space="preserve">Flip-rate, defined as how often the emitted label changes between consecutive frames of one tracked vehicle, fell 91.4% from a single-frame window to a thirty-frame window. Balanced accuracy improved more modestly (best at a fifteen-frame window: 0.642 versus 0.626 for a single frame), since part of the flip-rate reduction is mechanical smoothing rather than a pure accuracy gain.</w:t>
      </w:r>
    </w:p>
    <w:p>
      <w:pPr>
        <w:spacing w:after="120"/>
        <w:ind w:firstLine="240"/>
        <w:jc w:val="both"/>
      </w:pPr>
      <w:r>
        <w:rPr>
          <w:rFonts w:ascii="Times New Roman" w:cs="Times New Roman" w:eastAsia="Times New Roman" w:hAnsi="Times New Roman"/>
          <w:sz w:val="20"/>
          <w:szCs w:val="20"/>
        </w:rPr>
        <w:t xml:space="preserve">On VeRi-776, off-the-shelf OSNet with no vehicle-identity metric learning applied reaches Rank-1 0.310 and mean average precision 0.095, well below fine-tuned state-of-the-art results but far above the 776-way chance level of 0.1%, confirming genuine appearance signal even without fine-tuning.</w:t>
      </w:r>
    </w:p>
    <w:p>
      <w:pPr>
        <w:spacing w:before="120"/>
        <w:jc w:val="center"/>
      </w:pPr>
      <w:r>
        <w:drawing>
          <wp:inline distT="0" distB="0" distL="0" distR="0">
            <wp:extent cx="2667000" cy="1905000"/>
            <wp:effectExtent t="0" r="0" b="0" l="0"/>
            <wp:docPr id="1" name="Figure 4: Prediction flip-rate versus vote window N." descr="Figure 4: Prediction flip-rate versus vote window N." title="Figure 4: Prediction flip-rate versus vote window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4: Prediction flip-rate versus vote window N.</w:t>
      </w:r>
    </w:p>
    <w:p>
      <w:pPr>
        <w:spacing w:before="120"/>
        <w:jc w:val="center"/>
      </w:pPr>
      <w:r>
        <w:drawing>
          <wp:inline distT="0" distB="0" distL="0" distR="0">
            <wp:extent cx="2571750" cy="1905000"/>
            <wp:effectExtent t="0" r="0" b="0" l="0"/>
            <wp:docPr id="1" name="Figure 5: VeRi-776 cross-camera re-identification scores, off-the-shelf OSNet." descr="Figure 5: VeRi-776 cross-camera re-identification scores, off-the-shelf OSNet." title="Figure 5: VeRi-776 cross-camera re-identification scores, off-the-shelf OS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5: VeRi-776 cross-camera re-identification scores, off-the-shelf OSNet.</w:t>
      </w:r>
    </w:p>
    <w:p>
      <w:pPr>
        <w:spacing w:after="80" w:before="160"/>
        <w:jc w:val="left"/>
      </w:pPr>
      <w:r>
        <w:rPr>
          <w:rFonts w:ascii="Times New Roman" w:cs="Times New Roman" w:eastAsia="Times New Roman" w:hAnsi="Times New Roman"/>
          <w:b/>
          <w:bCs/>
          <w:i/>
          <w:iCs/>
          <w:sz w:val="20"/>
          <w:szCs w:val="20"/>
        </w:rPr>
        <w:t xml:space="preserve">D. Optimization</w:t>
      </w:r>
    </w:p>
    <w:p>
      <w:pPr>
        <w:spacing w:after="120"/>
        <w:ind w:firstLine="240"/>
        <w:jc w:val="both"/>
      </w:pPr>
      <w:r>
        <w:rPr>
          <w:rFonts w:ascii="Times New Roman" w:cs="Times New Roman" w:eastAsia="Times New Roman" w:hAnsi="Times New Roman"/>
          <w:sz w:val="20"/>
          <w:szCs w:val="20"/>
        </w:rPr>
        <w:t xml:space="preserve">Each classifier was pruned, optionally fine-tuned, and quantized as described in Part I (Section III-E); Table 2 walks through SmallCNN's accuracy at each stage of that process rather than only the final configuration.</w:t>
      </w:r>
    </w:p>
    <w:p>
      <w:pPr>
        <w:spacing w:after="40" w:before="80"/>
      </w:pPr>
      <w:r>
        <w:rPr>
          <w:rFonts w:ascii="Times New Roman" w:cs="Times New Roman" w:eastAsia="Times New Roman" w:hAnsi="Times New Roman"/>
          <w:b/>
          <w:bCs/>
          <w:sz w:val="18"/>
          <w:szCs w:val="18"/>
        </w:rPr>
        <w:t xml:space="preserve">Table 2. SmallCNN accuracy across optimization stages.</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075"/>
        <w:gridCol w:w="1075"/>
        <w:gridCol w:w="1075"/>
        <w:gridCol w:w="1075"/>
      </w:tblGrid>
      <w:tr>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Configuration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Retention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Size (MB)</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FP32</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1.00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(naive)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0.270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0.31</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 fine-tune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 ONNX INT8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0.24</w:t>
            </w:r>
          </w:p>
        </w:tc>
      </w:tr>
    </w:tbl>
    <w:p>
      <w:pPr>
        <w:spacing w:after="120"/>
        <w:ind w:firstLine="240"/>
        <w:jc w:val="both"/>
      </w:pPr>
      <w:r>
        <w:rPr>
          <w:rFonts w:ascii="Times New Roman" w:cs="Times New Roman" w:eastAsia="Times New Roman" w:hAnsi="Times New Roman"/>
          <w:sz w:val="20"/>
          <w:szCs w:val="20"/>
        </w:rPr>
        <w:t xml:space="preserve">Thirty percent structured pruning without fine-tuning collapses accuracy to a retention of 0.31; three epochs of low-learning-rate fine-tuning restores it to 0.98. INT8 quantization is then essentially free, producing no further accuracy change, and ONNX Runtime INT8 shrinks models 3.8 to 3.9 times. Latency is not uniformly improved by ONNX at batch size one on CPU for these small models, since session overhead dominates, so the size reduction is reported as unconditional and the latency change as model-dependent.</w:t>
      </w:r>
    </w:p>
    <w:p>
      <w:pPr>
        <w:spacing w:before="120"/>
        <w:jc w:val="center"/>
      </w:pPr>
      <w:r>
        <w:drawing>
          <wp:inline distT="0" distB="0" distL="0" distR="0">
            <wp:extent cx="2667000" cy="1905000"/>
            <wp:effectExtent t="0" r="0" b="0" l="0"/>
            <wp:docPr id="1" name="Figure 6: Naive pruning collapse versus fine-tune recovery, both benchmarked models." descr="Figure 6: Naive pruning collapse versus fine-tune recovery, both benchmarked models." title="Figure 6: Naive pruning collapse versus fine-tune recovery, both benchmark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6: Naive pruning collapse versus fine-tune recovery, both benchmarked models.</w:t>
      </w:r>
    </w:p>
    <w:p>
      <w:pPr>
        <w:spacing w:after="120" w:before="240"/>
        <w:jc w:val="center"/>
      </w:pPr>
      <w:r>
        <w:rPr>
          <w:rFonts w:ascii="Times New Roman" w:cs="Times New Roman" w:eastAsia="Times New Roman" w:hAnsi="Times New Roman"/>
          <w:b/>
          <w:bCs/>
          <w:smallCaps/>
          <w:sz w:val="20"/>
          <w:szCs w:val="20"/>
        </w:rPr>
        <w:t xml:space="preserve">II. Comparison with Existing Algorithms</w:t>
      </w:r>
    </w:p>
    <w:p>
      <w:pPr>
        <w:spacing w:after="120"/>
        <w:ind w:firstLine="240"/>
        <w:jc w:val="both"/>
      </w:pPr>
      <w:r>
        <w:rPr>
          <w:rFonts w:ascii="Times New Roman" w:cs="Times New Roman" w:eastAsia="Times New Roman" w:hAnsi="Times New Roman"/>
          <w:sz w:val="20"/>
          <w:szCs w:val="20"/>
        </w:rPr>
        <w:t xml:space="preserve">Table 3 places this work's measured results against the literature surveyed in Part I, where a comparable number is available. These numbers are not evaluated on identical datasets or hardware and are reported as context for the scale of the gap or agreement, not as a like-for-like benchmark leaderboard.</w:t>
      </w:r>
    </w:p>
    <w:p>
      <w:pPr>
        <w:spacing w:after="40" w:before="80"/>
      </w:pPr>
      <w:r>
        <w:rPr>
          <w:rFonts w:ascii="Times New Roman" w:cs="Times New Roman" w:eastAsia="Times New Roman" w:hAnsi="Times New Roman"/>
          <w:b/>
          <w:bCs/>
          <w:sz w:val="18"/>
          <w:szCs w:val="18"/>
        </w:rPr>
        <w:t xml:space="preserve">Table 3. Non-identical-protocol comparison against the surveyed literature.</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System</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Task</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Reported metric</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Jia et al. [10]</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(2-class)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97.7% mAP</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(7-class)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76.4% mAP@50 (test)</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Anoop &amp; Deivanathan [12]</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98.67%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79%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Chauhan et al. [9]</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Vehicle classification (Indian roads)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Reported, not directly comparable</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Wheel-count classification (leak-free)</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86.1% accuracy</w:t>
            </w:r>
          </w:p>
        </w:tc>
      </w:tr>
    </w:tbl>
    <w:p>
      <w:pPr>
        <w:spacing w:after="120"/>
        <w:ind w:firstLine="240"/>
        <w:jc w:val="both"/>
      </w:pPr>
      <w:r>
        <w:rPr>
          <w:rFonts w:ascii="Times New Roman" w:cs="Times New Roman" w:eastAsia="Times New Roman" w:hAnsi="Times New Roman"/>
          <w:sz w:val="20"/>
          <w:szCs w:val="20"/>
        </w:rPr>
        <w:t xml:space="preserve">The gap on helmet detection and weather classification against Jia et al. [10] and Anoop and Deivanathan [12] respectively is explained mainly by taxonomy and dataset difficulty rather than a weaker detector: this work's seven-class taxonomy distinguishes driver from passenger and helmet status separately, a strictly harder classification problem than the two-class framing in [10], and the weather classifier here is trained and evaluated on a real, multi-source, adverse-condition dataset rather than a single controlled camera setup. Reporting the gap honestly, along with its likely cause, is preferred here over omitting the comparison or presenting the numbers as directly equivalent.</w:t>
      </w:r>
    </w:p>
    <w:p>
      <w:pPr>
        <w:spacing w:after="120" w:before="240"/>
        <w:jc w:val="center"/>
      </w:pPr>
      <w:r>
        <w:rPr>
          <w:rFonts w:ascii="Times New Roman" w:cs="Times New Roman" w:eastAsia="Times New Roman" w:hAnsi="Times New Roman"/>
          <w:b/>
          <w:bCs/>
          <w:smallCaps/>
          <w:sz w:val="20"/>
          <w:szCs w:val="20"/>
        </w:rPr>
        <w:t xml:space="preserve">III. Conclusion</w:t>
      </w:r>
    </w:p>
    <w:p>
      <w:pPr>
        <w:spacing w:after="120"/>
        <w:ind w:firstLine="240"/>
        <w:jc w:val="both"/>
      </w:pPr>
      <w:r>
        <w:rPr>
          <w:rFonts w:ascii="Times New Roman" w:cs="Times New Roman" w:eastAsia="Times New Roman" w:hAnsi="Times New Roman"/>
          <w:sz w:val="20"/>
          <w:szCs w:val="20"/>
        </w:rPr>
        <w:t xml:space="preserve">This work presented and evaluated a complete, CPU-only traffic surveillance pipeline. The learned scene classifier reaches 0.79 accuracy, the selected wheel-count classifier reaches 0.861 accuracy under a leakage-free protocol, the helmet detector reaches 0.764 mean average precision on held-out data, and model optimization recovers accuracy lost to naive pruning while shrinking deployed models 3.8 to 3.9 times. Future work includes fine-tuning the re-identification backbone on VeRi-776's own training split, sourcing data for granular helmet sub-classes not covered by the current taxonomy, and extending the per-seat helmet-violation output with a targeted gender attribute for the non-helmeted passenger, rather than a general demographics module.</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bbf125129201692a45c19ba97c6990f0ae2659.png"/><Relationship Id="rId8" Type="http://schemas.openxmlformats.org/officeDocument/2006/relationships/image" Target="media/e33d53388ff83b9437fc14e6c574f0d8e6595bbe.png"/><Relationship Id="rId9" Type="http://schemas.openxmlformats.org/officeDocument/2006/relationships/image" Target="media/ad509a828c5027e6fe1e4f912c4bd24c3edf4166.png"/><Relationship Id="rId10" Type="http://schemas.openxmlformats.org/officeDocument/2006/relationships/image" Target="media/90f9a911f8f266bf68377b067cbb134df086c940.png"/><Relationship Id="rId11" Type="http://schemas.openxmlformats.org/officeDocument/2006/relationships/image" Target="media/e239132451f8410a203f6146c94967820b6c1a0d.png"/><Relationship Id="rId12" Type="http://schemas.openxmlformats.org/officeDocument/2006/relationships/image" Target="media/941fe29f0c2edc95b3bd91886506fc44e1160de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2026-09-28T20:45:21.967Z</dcterms:created>
  <dcterms:modified xsi:type="dcterms:W3CDTF">2026-09-28T20:45:21.968Z</dcterms:modified>
</cp:coreProperties>
</file>

<file path=docProps/custom.xml><?xml version="1.0" encoding="utf-8"?>
<Properties xmlns="http://schemas.openxmlformats.org/officeDocument/2006/custom-properties" xmlns:vt="http://schemas.openxmlformats.org/officeDocument/2006/docPropsVTypes"/>
</file>