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2B92F" w14:textId="77777777" w:rsidR="00453086" w:rsidRDefault="00000000">
      <w:pPr>
        <w:spacing w:after="40"/>
      </w:pPr>
      <w:r>
        <w:rPr>
          <w:rFonts w:ascii="Calibri" w:hAnsi="Calibri"/>
          <w:b/>
          <w:color w:val="182B49"/>
          <w:sz w:val="40"/>
        </w:rPr>
        <w:t>STREAMFLIX PLATFORM HEALTH &amp; BUSINESS REPORT</w:t>
      </w:r>
    </w:p>
    <w:tbl>
      <w:tblPr>
        <w:tblW w:w="0" w:type="auto"/>
        <w:jc w:val="center"/>
        <w:tblBorders>
          <w:left w:val="single" w:sz="24" w:space="0" w:color="0E7490"/>
        </w:tblBorders>
        <w:tblLayout w:type="fixed"/>
        <w:tblLook w:val="04A0" w:firstRow="1" w:lastRow="0" w:firstColumn="1" w:lastColumn="0" w:noHBand="0" w:noVBand="1"/>
      </w:tblPr>
      <w:tblGrid>
        <w:gridCol w:w="2592"/>
        <w:gridCol w:w="6437"/>
      </w:tblGrid>
      <w:tr w:rsidR="00453086" w14:paraId="41A4DF6B" w14:textId="77777777">
        <w:trPr>
          <w:jc w:val="center"/>
        </w:trPr>
        <w:tc>
          <w:tcPr>
            <w:tcW w:w="2592" w:type="dxa"/>
            <w:shd w:val="clear" w:color="auto" w:fill="F1F5F9"/>
          </w:tcPr>
          <w:p w14:paraId="29572501" w14:textId="77777777" w:rsidR="00453086" w:rsidRDefault="00000000">
            <w:pPr>
              <w:spacing w:before="40" w:after="40"/>
            </w:pPr>
            <w:r>
              <w:rPr>
                <w:rFonts w:ascii="Calibri" w:hAnsi="Calibri"/>
                <w:b/>
                <w:color w:val="505F78"/>
                <w:sz w:val="19"/>
              </w:rPr>
              <w:t>Prepared for:</w:t>
            </w:r>
          </w:p>
        </w:tc>
        <w:tc>
          <w:tcPr>
            <w:tcW w:w="6437" w:type="dxa"/>
            <w:shd w:val="clear" w:color="auto" w:fill="F1F5F9"/>
          </w:tcPr>
          <w:p w14:paraId="0F33648B" w14:textId="77777777" w:rsidR="00453086" w:rsidRDefault="00000000">
            <w:pPr>
              <w:spacing w:before="40" w:after="40"/>
            </w:pPr>
            <w:r>
              <w:rPr>
                <w:rFonts w:ascii="Calibri" w:hAnsi="Calibri"/>
                <w:color w:val="212529"/>
                <w:sz w:val="19"/>
              </w:rPr>
              <w:t>Chief Executive Officer, StreamFlix</w:t>
            </w:r>
          </w:p>
        </w:tc>
      </w:tr>
      <w:tr w:rsidR="00453086" w14:paraId="7C3178DD" w14:textId="77777777">
        <w:trPr>
          <w:jc w:val="center"/>
        </w:trPr>
        <w:tc>
          <w:tcPr>
            <w:tcW w:w="2592" w:type="dxa"/>
            <w:shd w:val="clear" w:color="auto" w:fill="F1F5F9"/>
          </w:tcPr>
          <w:p w14:paraId="6D1BEB2D" w14:textId="77777777" w:rsidR="00453086" w:rsidRDefault="00000000">
            <w:pPr>
              <w:spacing w:before="40" w:after="40"/>
            </w:pPr>
            <w:r>
              <w:rPr>
                <w:rFonts w:ascii="Calibri" w:hAnsi="Calibri"/>
                <w:b/>
                <w:color w:val="505F78"/>
                <w:sz w:val="19"/>
              </w:rPr>
              <w:t>Prepared by:</w:t>
            </w:r>
          </w:p>
        </w:tc>
        <w:tc>
          <w:tcPr>
            <w:tcW w:w="6437" w:type="dxa"/>
            <w:shd w:val="clear" w:color="auto" w:fill="F1F5F9"/>
          </w:tcPr>
          <w:p w14:paraId="631A1F59" w14:textId="77777777" w:rsidR="00453086" w:rsidRDefault="00000000">
            <w:pPr>
              <w:spacing w:before="40" w:after="40"/>
            </w:pPr>
            <w:r>
              <w:rPr>
                <w:rFonts w:ascii="Calibri" w:hAnsi="Calibri"/>
                <w:color w:val="212529"/>
                <w:sz w:val="19"/>
              </w:rPr>
              <w:t>Harsh Suman</w:t>
            </w:r>
          </w:p>
        </w:tc>
      </w:tr>
      <w:tr w:rsidR="00453086" w14:paraId="5D106A9C" w14:textId="77777777">
        <w:trPr>
          <w:jc w:val="center"/>
        </w:trPr>
        <w:tc>
          <w:tcPr>
            <w:tcW w:w="2592" w:type="dxa"/>
            <w:shd w:val="clear" w:color="auto" w:fill="F1F5F9"/>
          </w:tcPr>
          <w:p w14:paraId="10F6A6D5" w14:textId="77777777" w:rsidR="00453086" w:rsidRDefault="00000000">
            <w:pPr>
              <w:spacing w:before="40" w:after="40"/>
            </w:pPr>
            <w:r>
              <w:rPr>
                <w:rFonts w:ascii="Calibri" w:hAnsi="Calibri"/>
                <w:b/>
                <w:color w:val="505F78"/>
                <w:sz w:val="19"/>
              </w:rPr>
              <w:t>Project:</w:t>
            </w:r>
          </w:p>
        </w:tc>
        <w:tc>
          <w:tcPr>
            <w:tcW w:w="6437" w:type="dxa"/>
            <w:shd w:val="clear" w:color="auto" w:fill="F1F5F9"/>
          </w:tcPr>
          <w:p w14:paraId="616AE642" w14:textId="77777777" w:rsidR="00453086" w:rsidRDefault="00000000">
            <w:pPr>
              <w:spacing w:before="40" w:after="40"/>
            </w:pPr>
            <w:r>
              <w:rPr>
                <w:rFonts w:ascii="Calibri" w:hAnsi="Calibri"/>
                <w:color w:val="212529"/>
                <w:sz w:val="19"/>
              </w:rPr>
              <w:t>StreamFlix Data Analysis &amp; Business Intelligence</w:t>
            </w:r>
          </w:p>
        </w:tc>
      </w:tr>
      <w:tr w:rsidR="00453086" w14:paraId="7781C204" w14:textId="77777777">
        <w:trPr>
          <w:jc w:val="center"/>
        </w:trPr>
        <w:tc>
          <w:tcPr>
            <w:tcW w:w="2592" w:type="dxa"/>
            <w:shd w:val="clear" w:color="auto" w:fill="F1F5F9"/>
          </w:tcPr>
          <w:p w14:paraId="59D6CD72" w14:textId="77777777" w:rsidR="00453086" w:rsidRDefault="00000000">
            <w:pPr>
              <w:spacing w:before="40" w:after="40"/>
            </w:pPr>
            <w:r>
              <w:rPr>
                <w:rFonts w:ascii="Calibri" w:hAnsi="Calibri"/>
                <w:b/>
                <w:color w:val="505F78"/>
                <w:sz w:val="19"/>
              </w:rPr>
              <w:t>Report Type:</w:t>
            </w:r>
          </w:p>
        </w:tc>
        <w:tc>
          <w:tcPr>
            <w:tcW w:w="6437" w:type="dxa"/>
            <w:shd w:val="clear" w:color="auto" w:fill="F1F5F9"/>
          </w:tcPr>
          <w:p w14:paraId="20946209" w14:textId="77777777" w:rsidR="00453086" w:rsidRDefault="00000000">
            <w:pPr>
              <w:spacing w:before="40" w:after="40"/>
            </w:pPr>
            <w:r>
              <w:rPr>
                <w:rFonts w:ascii="Calibri" w:hAnsi="Calibri"/>
                <w:color w:val="212529"/>
                <w:sz w:val="19"/>
              </w:rPr>
              <w:t>Management Report</w:t>
            </w:r>
          </w:p>
        </w:tc>
      </w:tr>
    </w:tbl>
    <w:p w14:paraId="47FD0FFC" w14:textId="77777777" w:rsidR="00453086" w:rsidRDefault="00453086">
      <w:pPr>
        <w:spacing w:after="160"/>
      </w:pPr>
    </w:p>
    <w:p w14:paraId="525B0C30" w14:textId="77777777" w:rsidR="00453086" w:rsidRDefault="00000000">
      <w:pPr>
        <w:spacing w:before="240" w:after="120"/>
      </w:pPr>
      <w:r>
        <w:rPr>
          <w:rFonts w:ascii="Calibri" w:hAnsi="Calibri"/>
          <w:b/>
          <w:color w:val="182B49"/>
          <w:sz w:val="28"/>
        </w:rPr>
        <w:t>EXECUTIVE SUMMARY &amp; TOP 3 FINDINGS</w:t>
      </w:r>
    </w:p>
    <w:p w14:paraId="09EF7EE2" w14:textId="77777777" w:rsidR="00453086" w:rsidRDefault="00000000">
      <w:pPr>
        <w:spacing w:before="160" w:after="60"/>
      </w:pPr>
      <w:r>
        <w:rPr>
          <w:rFonts w:ascii="Calibri" w:hAnsi="Calibri"/>
          <w:b/>
          <w:color w:val="0E7490"/>
          <w:sz w:val="23"/>
        </w:rPr>
        <w:t>1. Executive Summary</w:t>
      </w:r>
    </w:p>
    <w:p w14:paraId="43E357BA" w14:textId="77777777" w:rsidR="00453086" w:rsidRDefault="00000000">
      <w:pPr>
        <w:spacing w:after="100"/>
      </w:pPr>
      <w:r>
        <w:rPr>
          <w:rFonts w:ascii="Calibri" w:hAnsi="Calibri"/>
          <w:color w:val="212529"/>
          <w:sz w:val="20"/>
        </w:rPr>
        <w:t>StreamFlix is showing a reasonably healthy overall platform position, with strong viewing activity and a majority of subscribers remaining active. The platform generated approximately 3.33 million total watch hours, demonstrating substantial customer engagement with the available content. The active subscriber rate is 74.66%, which is above the target of 70%, indicating that most subscribers are currently active on the platform.</w:t>
      </w:r>
    </w:p>
    <w:p w14:paraId="03A95A2F" w14:textId="77777777" w:rsidR="00453086" w:rsidRDefault="00000000">
      <w:pPr>
        <w:spacing w:after="100"/>
      </w:pPr>
      <w:r>
        <w:rPr>
          <w:rFonts w:ascii="Calibri" w:hAnsi="Calibri"/>
          <w:color w:val="212529"/>
          <w:sz w:val="20"/>
        </w:rPr>
        <w:t>However, the churn rate is 25.34%, meaning approximately one out of every four subscribers is inactive. This is the most important area that management should focus on because losing existing subscribers can increase the pressure and cost of acquiring new customers.</w:t>
      </w:r>
    </w:p>
    <w:p w14:paraId="12F567DD" w14:textId="77777777" w:rsidR="00453086" w:rsidRDefault="00000000">
      <w:pPr>
        <w:spacing w:after="100"/>
      </w:pPr>
      <w:r>
        <w:rPr>
          <w:rFonts w:ascii="Calibri" w:hAnsi="Calibri"/>
          <w:color w:val="212529"/>
          <w:sz w:val="20"/>
        </w:rPr>
        <w:t>The average completion rate is 65.31%, which is above the target of 60%. This suggests that viewers generally watch a meaningful portion of the content they start. The watchlist conversion rate is 46.23%, which is also above the target of 40%, showing that customers are successfully converting saved content into actual viewing.</w:t>
      </w:r>
    </w:p>
    <w:p w14:paraId="6B9E31E5" w14:textId="77777777" w:rsidR="00453086" w:rsidRDefault="00000000">
      <w:pPr>
        <w:spacing w:after="100"/>
      </w:pPr>
      <w:r>
        <w:rPr>
          <w:rFonts w:ascii="Calibri" w:hAnsi="Calibri"/>
          <w:color w:val="212529"/>
          <w:sz w:val="20"/>
        </w:rPr>
        <w:t>Overall, StreamFlix has a strong engagement foundation, but the business should now focus on reducing churn, improving content investment decisions, and ensuring that valuable content remains available to subscribers.</w:t>
      </w:r>
    </w:p>
    <w:p w14:paraId="2EED0944" w14:textId="77777777" w:rsidR="00453086" w:rsidRDefault="00000000">
      <w:pPr>
        <w:spacing w:before="160" w:after="60"/>
      </w:pPr>
      <w:r>
        <w:rPr>
          <w:rFonts w:ascii="Calibri" w:hAnsi="Calibri"/>
          <w:b/>
          <w:color w:val="0E7490"/>
          <w:sz w:val="23"/>
        </w:rPr>
        <w:t>2. Top 3 Findings</w:t>
      </w:r>
    </w:p>
    <w:p w14:paraId="56893EE8" w14:textId="77777777" w:rsidR="00453086" w:rsidRDefault="00000000">
      <w:pPr>
        <w:spacing w:after="100"/>
      </w:pPr>
      <w:r>
        <w:rPr>
          <w:rFonts w:ascii="Calibri" w:hAnsi="Calibri"/>
          <w:b/>
          <w:color w:val="212529"/>
          <w:sz w:val="20"/>
        </w:rPr>
        <w:t>Finding 1 — Strong Overall Viewing Engagement:</w:t>
      </w:r>
      <w:r>
        <w:rPr>
          <w:rFonts w:ascii="Calibri" w:hAnsi="Calibri"/>
          <w:color w:val="212529"/>
          <w:sz w:val="20"/>
        </w:rPr>
        <w:t xml:space="preserve"> StreamFlix generated approximately 3.33 million watch hours in the analysed data. This is a positive indication that customers are actively consuming content on the platform. The 74.66% active subscriber rate further supports the conclusion that the majority of the subscriber base continues to engage with StreamFlix. The platform therefore has a strong existing customer base on which future growth can be built.</w:t>
      </w:r>
    </w:p>
    <w:p w14:paraId="6A3F35E0" w14:textId="77777777" w:rsidR="00453086" w:rsidRDefault="00000000">
      <w:pPr>
        <w:spacing w:after="100"/>
      </w:pPr>
      <w:r>
        <w:rPr>
          <w:rFonts w:ascii="Calibri" w:hAnsi="Calibri"/>
          <w:b/>
          <w:color w:val="212529"/>
          <w:sz w:val="20"/>
        </w:rPr>
        <w:t>Finding 2 — Churn Is the Main Business Concern:</w:t>
      </w:r>
      <w:r>
        <w:rPr>
          <w:rFonts w:ascii="Calibri" w:hAnsi="Calibri"/>
          <w:color w:val="212529"/>
          <w:sz w:val="20"/>
        </w:rPr>
        <w:t xml:space="preserve"> The current churn rate is 25.34%. This means approximately one-quarter of subscribers are inactive. Although the active rate of 74.66% is above the target, churn remains a significant concern because inactive customers represent potential lost revenue and reduced long-term customer value. Reducing avoidable churn should therefore be one of StreamFlix's highest priorities.</w:t>
      </w:r>
    </w:p>
    <w:p w14:paraId="1602CC49" w14:textId="77777777" w:rsidR="00453086" w:rsidRDefault="00000000">
      <w:pPr>
        <w:spacing w:after="100"/>
      </w:pPr>
      <w:r>
        <w:rPr>
          <w:rFonts w:ascii="Calibri" w:hAnsi="Calibri"/>
          <w:b/>
          <w:color w:val="212529"/>
          <w:sz w:val="20"/>
        </w:rPr>
        <w:t>Finding 3 — Viewer Engagement Is Above Target:</w:t>
      </w:r>
      <w:r>
        <w:rPr>
          <w:rFonts w:ascii="Calibri" w:hAnsi="Calibri"/>
          <w:color w:val="212529"/>
          <w:sz w:val="20"/>
        </w:rPr>
        <w:t xml:space="preserve"> The average completion rate is 65.31%, exceeding the target of 60%. The watchlist conversion rate is 46.23%, also exceeding the target of 40%. These results suggest that customers are not simply opening content and leaving immediately. They are showing meaningful interest in the catalogue and are also converting saved content into actual viewing. This gives StreamFlix an opportunity to use its existing engagement to improve customer retention.</w:t>
      </w:r>
    </w:p>
    <w:p w14:paraId="0463D44E" w14:textId="77777777" w:rsidR="00453086" w:rsidRDefault="00000000">
      <w:pPr>
        <w:spacing w:before="160" w:after="60"/>
      </w:pPr>
      <w:r>
        <w:rPr>
          <w:rFonts w:ascii="Calibri" w:hAnsi="Calibri"/>
          <w:b/>
          <w:color w:val="0E7490"/>
          <w:sz w:val="23"/>
        </w:rPr>
        <w:t>3. Management KPI Snapshot</w:t>
      </w:r>
    </w:p>
    <w:tbl>
      <w:tblPr>
        <w:tblW w:w="0" w:type="auto"/>
        <w:jc w:val="center"/>
        <w:tblBorders>
          <w:top w:val="single" w:sz="4" w:space="0" w:color="CCCCCC"/>
          <w:bottom w:val="single" w:sz="8" w:space="0" w:color="182B49"/>
          <w:insideH w:val="single" w:sz="4" w:space="0" w:color="E5E7EB"/>
        </w:tblBorders>
        <w:tblLook w:val="04A0" w:firstRow="1" w:lastRow="0" w:firstColumn="1" w:lastColumn="0" w:noHBand="0" w:noVBand="1"/>
      </w:tblPr>
      <w:tblGrid>
        <w:gridCol w:w="3024"/>
        <w:gridCol w:w="1872"/>
        <w:gridCol w:w="4133"/>
      </w:tblGrid>
      <w:tr w:rsidR="00453086" w14:paraId="43A7A3E1" w14:textId="77777777">
        <w:trPr>
          <w:jc w:val="center"/>
        </w:trPr>
        <w:tc>
          <w:tcPr>
            <w:tcW w:w="3024" w:type="dxa"/>
            <w:shd w:val="clear" w:color="auto" w:fill="182B49"/>
          </w:tcPr>
          <w:p w14:paraId="04D46844" w14:textId="6EC30563" w:rsidR="008D7F2A" w:rsidRPr="008D7F2A" w:rsidRDefault="00000000">
            <w:pPr>
              <w:spacing w:before="80" w:after="80"/>
              <w:rPr>
                <w:rFonts w:ascii="Calibri" w:hAnsi="Calibri"/>
                <w:b/>
                <w:color w:val="FFFFFF"/>
                <w:sz w:val="19"/>
              </w:rPr>
            </w:pPr>
            <w:r>
              <w:rPr>
                <w:rFonts w:ascii="Calibri" w:hAnsi="Calibri"/>
                <w:b/>
                <w:color w:val="FFFFFF"/>
                <w:sz w:val="19"/>
              </w:rPr>
              <w:t>KPI</w:t>
            </w:r>
          </w:p>
        </w:tc>
        <w:tc>
          <w:tcPr>
            <w:tcW w:w="1872" w:type="dxa"/>
            <w:shd w:val="clear" w:color="auto" w:fill="182B49"/>
          </w:tcPr>
          <w:p w14:paraId="63B0A775" w14:textId="77777777" w:rsidR="00453086" w:rsidRDefault="00000000">
            <w:pPr>
              <w:spacing w:before="80" w:after="80"/>
            </w:pPr>
            <w:r>
              <w:rPr>
                <w:rFonts w:ascii="Calibri" w:hAnsi="Calibri"/>
                <w:b/>
                <w:color w:val="FFFFFF"/>
                <w:sz w:val="19"/>
              </w:rPr>
              <w:t>Result</w:t>
            </w:r>
          </w:p>
        </w:tc>
        <w:tc>
          <w:tcPr>
            <w:tcW w:w="4133" w:type="dxa"/>
            <w:shd w:val="clear" w:color="auto" w:fill="182B49"/>
          </w:tcPr>
          <w:p w14:paraId="0B151A89" w14:textId="77777777" w:rsidR="00453086" w:rsidRDefault="00000000">
            <w:pPr>
              <w:spacing w:before="80" w:after="80"/>
            </w:pPr>
            <w:r>
              <w:rPr>
                <w:rFonts w:ascii="Calibri" w:hAnsi="Calibri"/>
                <w:b/>
                <w:color w:val="FFFFFF"/>
                <w:sz w:val="19"/>
              </w:rPr>
              <w:t>Management Interpretation</w:t>
            </w:r>
          </w:p>
        </w:tc>
      </w:tr>
      <w:tr w:rsidR="008D7F2A" w14:paraId="2184337F" w14:textId="77777777">
        <w:trPr>
          <w:jc w:val="center"/>
        </w:trPr>
        <w:tc>
          <w:tcPr>
            <w:tcW w:w="3024" w:type="dxa"/>
            <w:shd w:val="clear" w:color="auto" w:fill="FFFFFF"/>
          </w:tcPr>
          <w:p w14:paraId="215F3909" w14:textId="77777777" w:rsidR="008D7F2A" w:rsidRDefault="008D7F2A">
            <w:pPr>
              <w:spacing w:before="60" w:after="60"/>
              <w:rPr>
                <w:rFonts w:ascii="Calibri" w:hAnsi="Calibri"/>
                <w:b/>
                <w:color w:val="212529"/>
                <w:sz w:val="19"/>
              </w:rPr>
            </w:pPr>
          </w:p>
        </w:tc>
        <w:tc>
          <w:tcPr>
            <w:tcW w:w="1872" w:type="dxa"/>
            <w:shd w:val="clear" w:color="auto" w:fill="FFFFFF"/>
          </w:tcPr>
          <w:p w14:paraId="5D1BC14B" w14:textId="77777777" w:rsidR="008D7F2A" w:rsidRDefault="008D7F2A">
            <w:pPr>
              <w:spacing w:before="60" w:after="60"/>
              <w:rPr>
                <w:rFonts w:ascii="Calibri" w:hAnsi="Calibri"/>
                <w:color w:val="212529"/>
                <w:sz w:val="19"/>
              </w:rPr>
            </w:pPr>
          </w:p>
        </w:tc>
        <w:tc>
          <w:tcPr>
            <w:tcW w:w="4133" w:type="dxa"/>
            <w:shd w:val="clear" w:color="auto" w:fill="FFFFFF"/>
          </w:tcPr>
          <w:p w14:paraId="0CD34ED7" w14:textId="77777777" w:rsidR="008D7F2A" w:rsidRDefault="008D7F2A">
            <w:pPr>
              <w:spacing w:before="60" w:after="60"/>
              <w:rPr>
                <w:rFonts w:ascii="Calibri" w:hAnsi="Calibri"/>
                <w:color w:val="212529"/>
                <w:sz w:val="19"/>
              </w:rPr>
            </w:pPr>
          </w:p>
        </w:tc>
      </w:tr>
      <w:tr w:rsidR="00453086" w14:paraId="45C3EF02" w14:textId="77777777">
        <w:trPr>
          <w:jc w:val="center"/>
        </w:trPr>
        <w:tc>
          <w:tcPr>
            <w:tcW w:w="3024" w:type="dxa"/>
            <w:shd w:val="clear" w:color="auto" w:fill="FFFFFF"/>
          </w:tcPr>
          <w:p w14:paraId="1146CBBA" w14:textId="77777777" w:rsidR="00453086" w:rsidRDefault="00000000">
            <w:pPr>
              <w:spacing w:before="60" w:after="60"/>
            </w:pPr>
            <w:r>
              <w:rPr>
                <w:rFonts w:ascii="Calibri" w:hAnsi="Calibri"/>
                <w:b/>
                <w:color w:val="212529"/>
                <w:sz w:val="19"/>
              </w:rPr>
              <w:t>Total Watch Hours</w:t>
            </w:r>
          </w:p>
        </w:tc>
        <w:tc>
          <w:tcPr>
            <w:tcW w:w="1872" w:type="dxa"/>
            <w:shd w:val="clear" w:color="auto" w:fill="FFFFFF"/>
          </w:tcPr>
          <w:p w14:paraId="64026201" w14:textId="77777777" w:rsidR="00453086" w:rsidRDefault="00000000">
            <w:pPr>
              <w:spacing w:before="60" w:after="60"/>
            </w:pPr>
            <w:r>
              <w:rPr>
                <w:rFonts w:ascii="Calibri" w:hAnsi="Calibri"/>
                <w:color w:val="212529"/>
                <w:sz w:val="19"/>
              </w:rPr>
              <w:t>3.33 Million</w:t>
            </w:r>
          </w:p>
        </w:tc>
        <w:tc>
          <w:tcPr>
            <w:tcW w:w="4133" w:type="dxa"/>
            <w:shd w:val="clear" w:color="auto" w:fill="FFFFFF"/>
          </w:tcPr>
          <w:p w14:paraId="4A76AC7C" w14:textId="77777777" w:rsidR="00453086" w:rsidRDefault="00000000">
            <w:pPr>
              <w:spacing w:before="60" w:after="60"/>
            </w:pPr>
            <w:r>
              <w:rPr>
                <w:rFonts w:ascii="Calibri" w:hAnsi="Calibri"/>
                <w:color w:val="212529"/>
                <w:sz w:val="19"/>
              </w:rPr>
              <w:t>Strong viewing activity</w:t>
            </w:r>
          </w:p>
        </w:tc>
      </w:tr>
      <w:tr w:rsidR="00453086" w14:paraId="6B36AC51" w14:textId="77777777">
        <w:trPr>
          <w:jc w:val="center"/>
        </w:trPr>
        <w:tc>
          <w:tcPr>
            <w:tcW w:w="3024" w:type="dxa"/>
            <w:shd w:val="clear" w:color="auto" w:fill="F8FAFC"/>
          </w:tcPr>
          <w:p w14:paraId="08B4F107" w14:textId="77777777" w:rsidR="00453086" w:rsidRDefault="00000000">
            <w:pPr>
              <w:spacing w:before="60" w:after="60"/>
            </w:pPr>
            <w:r>
              <w:rPr>
                <w:rFonts w:ascii="Calibri" w:hAnsi="Calibri"/>
                <w:b/>
                <w:color w:val="212529"/>
                <w:sz w:val="19"/>
              </w:rPr>
              <w:t>Active Rate</w:t>
            </w:r>
          </w:p>
        </w:tc>
        <w:tc>
          <w:tcPr>
            <w:tcW w:w="1872" w:type="dxa"/>
            <w:shd w:val="clear" w:color="auto" w:fill="F8FAFC"/>
          </w:tcPr>
          <w:p w14:paraId="208F5018" w14:textId="77777777" w:rsidR="00453086" w:rsidRDefault="00000000">
            <w:pPr>
              <w:spacing w:before="60" w:after="60"/>
            </w:pPr>
            <w:r>
              <w:rPr>
                <w:rFonts w:ascii="Calibri" w:hAnsi="Calibri"/>
                <w:color w:val="212529"/>
                <w:sz w:val="19"/>
              </w:rPr>
              <w:t>74.66%</w:t>
            </w:r>
          </w:p>
        </w:tc>
        <w:tc>
          <w:tcPr>
            <w:tcW w:w="4133" w:type="dxa"/>
            <w:shd w:val="clear" w:color="auto" w:fill="F8FAFC"/>
          </w:tcPr>
          <w:p w14:paraId="35006530" w14:textId="77777777" w:rsidR="00453086" w:rsidRDefault="00000000">
            <w:pPr>
              <w:spacing w:before="60" w:after="60"/>
            </w:pPr>
            <w:r>
              <w:rPr>
                <w:rFonts w:ascii="Calibri" w:hAnsi="Calibri"/>
                <w:color w:val="212529"/>
                <w:sz w:val="19"/>
              </w:rPr>
              <w:t>Above 70% target</w:t>
            </w:r>
          </w:p>
        </w:tc>
      </w:tr>
      <w:tr w:rsidR="00453086" w14:paraId="6C97CDF4" w14:textId="77777777">
        <w:trPr>
          <w:jc w:val="center"/>
        </w:trPr>
        <w:tc>
          <w:tcPr>
            <w:tcW w:w="3024" w:type="dxa"/>
            <w:shd w:val="clear" w:color="auto" w:fill="FFFFFF"/>
          </w:tcPr>
          <w:p w14:paraId="2B7D7D03" w14:textId="77777777" w:rsidR="00453086" w:rsidRDefault="00000000">
            <w:pPr>
              <w:spacing w:before="60" w:after="60"/>
            </w:pPr>
            <w:r>
              <w:rPr>
                <w:rFonts w:ascii="Calibri" w:hAnsi="Calibri"/>
                <w:b/>
                <w:color w:val="212529"/>
                <w:sz w:val="19"/>
              </w:rPr>
              <w:t>Churn Rate</w:t>
            </w:r>
          </w:p>
        </w:tc>
        <w:tc>
          <w:tcPr>
            <w:tcW w:w="1872" w:type="dxa"/>
            <w:shd w:val="clear" w:color="auto" w:fill="FFFFFF"/>
          </w:tcPr>
          <w:p w14:paraId="0831B0FD" w14:textId="77777777" w:rsidR="00453086" w:rsidRDefault="00000000">
            <w:pPr>
              <w:spacing w:before="60" w:after="60"/>
            </w:pPr>
            <w:r>
              <w:rPr>
                <w:rFonts w:ascii="Calibri" w:hAnsi="Calibri"/>
                <w:color w:val="212529"/>
                <w:sz w:val="19"/>
              </w:rPr>
              <w:t>25.34%</w:t>
            </w:r>
          </w:p>
        </w:tc>
        <w:tc>
          <w:tcPr>
            <w:tcW w:w="4133" w:type="dxa"/>
            <w:shd w:val="clear" w:color="auto" w:fill="FFFFFF"/>
          </w:tcPr>
          <w:p w14:paraId="755F85AA" w14:textId="77777777" w:rsidR="00453086" w:rsidRDefault="00000000">
            <w:pPr>
              <w:spacing w:before="60" w:after="60"/>
            </w:pPr>
            <w:r>
              <w:rPr>
                <w:rFonts w:ascii="Calibri" w:hAnsi="Calibri"/>
                <w:color w:val="212529"/>
                <w:sz w:val="19"/>
              </w:rPr>
              <w:t>Main retention concern</w:t>
            </w:r>
          </w:p>
        </w:tc>
      </w:tr>
      <w:tr w:rsidR="00453086" w14:paraId="3F5E5C63" w14:textId="77777777">
        <w:trPr>
          <w:jc w:val="center"/>
        </w:trPr>
        <w:tc>
          <w:tcPr>
            <w:tcW w:w="3024" w:type="dxa"/>
            <w:shd w:val="clear" w:color="auto" w:fill="F8FAFC"/>
          </w:tcPr>
          <w:p w14:paraId="16C50BF2" w14:textId="77777777" w:rsidR="00453086" w:rsidRDefault="00000000">
            <w:pPr>
              <w:spacing w:before="60" w:after="60"/>
            </w:pPr>
            <w:r>
              <w:rPr>
                <w:rFonts w:ascii="Calibri" w:hAnsi="Calibri"/>
                <w:b/>
                <w:color w:val="212529"/>
                <w:sz w:val="19"/>
              </w:rPr>
              <w:t>Average Completion Rate</w:t>
            </w:r>
          </w:p>
        </w:tc>
        <w:tc>
          <w:tcPr>
            <w:tcW w:w="1872" w:type="dxa"/>
            <w:shd w:val="clear" w:color="auto" w:fill="F8FAFC"/>
          </w:tcPr>
          <w:p w14:paraId="2067F199" w14:textId="77777777" w:rsidR="00453086" w:rsidRDefault="00000000">
            <w:pPr>
              <w:spacing w:before="60" w:after="60"/>
            </w:pPr>
            <w:r>
              <w:rPr>
                <w:rFonts w:ascii="Calibri" w:hAnsi="Calibri"/>
                <w:color w:val="212529"/>
                <w:sz w:val="19"/>
              </w:rPr>
              <w:t>65.31%</w:t>
            </w:r>
          </w:p>
        </w:tc>
        <w:tc>
          <w:tcPr>
            <w:tcW w:w="4133" w:type="dxa"/>
            <w:shd w:val="clear" w:color="auto" w:fill="F8FAFC"/>
          </w:tcPr>
          <w:p w14:paraId="4EAC3447" w14:textId="77777777" w:rsidR="00453086" w:rsidRDefault="00000000">
            <w:pPr>
              <w:spacing w:before="60" w:after="60"/>
            </w:pPr>
            <w:r>
              <w:rPr>
                <w:rFonts w:ascii="Calibri" w:hAnsi="Calibri"/>
                <w:color w:val="212529"/>
                <w:sz w:val="19"/>
              </w:rPr>
              <w:t>Above 60% target</w:t>
            </w:r>
          </w:p>
        </w:tc>
      </w:tr>
      <w:tr w:rsidR="00453086" w14:paraId="3AEF4E20" w14:textId="77777777">
        <w:trPr>
          <w:jc w:val="center"/>
        </w:trPr>
        <w:tc>
          <w:tcPr>
            <w:tcW w:w="3024" w:type="dxa"/>
            <w:shd w:val="clear" w:color="auto" w:fill="FFFFFF"/>
          </w:tcPr>
          <w:p w14:paraId="220B1E94" w14:textId="77777777" w:rsidR="00453086" w:rsidRDefault="00000000">
            <w:pPr>
              <w:spacing w:before="60" w:after="60"/>
            </w:pPr>
            <w:r>
              <w:rPr>
                <w:rFonts w:ascii="Calibri" w:hAnsi="Calibri"/>
                <w:b/>
                <w:color w:val="212529"/>
                <w:sz w:val="19"/>
              </w:rPr>
              <w:t>Watchlist Conversion</w:t>
            </w:r>
          </w:p>
        </w:tc>
        <w:tc>
          <w:tcPr>
            <w:tcW w:w="1872" w:type="dxa"/>
            <w:shd w:val="clear" w:color="auto" w:fill="FFFFFF"/>
          </w:tcPr>
          <w:p w14:paraId="1FA0DABA" w14:textId="77777777" w:rsidR="00453086" w:rsidRDefault="00000000">
            <w:pPr>
              <w:spacing w:before="60" w:after="60"/>
            </w:pPr>
            <w:r>
              <w:rPr>
                <w:rFonts w:ascii="Calibri" w:hAnsi="Calibri"/>
                <w:color w:val="212529"/>
                <w:sz w:val="19"/>
              </w:rPr>
              <w:t>46.23%</w:t>
            </w:r>
          </w:p>
        </w:tc>
        <w:tc>
          <w:tcPr>
            <w:tcW w:w="4133" w:type="dxa"/>
            <w:shd w:val="clear" w:color="auto" w:fill="FFFFFF"/>
          </w:tcPr>
          <w:p w14:paraId="78F3C591" w14:textId="77777777" w:rsidR="00453086" w:rsidRDefault="00000000">
            <w:pPr>
              <w:spacing w:before="60" w:after="60"/>
            </w:pPr>
            <w:r>
              <w:rPr>
                <w:rFonts w:ascii="Calibri" w:hAnsi="Calibri"/>
                <w:color w:val="212529"/>
                <w:sz w:val="19"/>
              </w:rPr>
              <w:t>Above 40% target</w:t>
            </w:r>
          </w:p>
        </w:tc>
      </w:tr>
    </w:tbl>
    <w:p w14:paraId="0995049C" w14:textId="77777777" w:rsidR="00453086" w:rsidRDefault="00453086">
      <w:pPr>
        <w:spacing w:before="40" w:after="80"/>
      </w:pPr>
    </w:p>
    <w:tbl>
      <w:tblPr>
        <w:tblW w:w="0" w:type="auto"/>
        <w:jc w:val="center"/>
        <w:tblBorders>
          <w:left w:val="single" w:sz="24" w:space="0" w:color="182B49"/>
        </w:tblBorders>
        <w:tblLayout w:type="fixed"/>
        <w:tblLook w:val="04A0" w:firstRow="1" w:lastRow="0" w:firstColumn="1" w:lastColumn="0" w:noHBand="0" w:noVBand="1"/>
      </w:tblPr>
      <w:tblGrid>
        <w:gridCol w:w="9029"/>
      </w:tblGrid>
      <w:tr w:rsidR="00453086" w14:paraId="57CC4EF8" w14:textId="77777777">
        <w:trPr>
          <w:jc w:val="center"/>
        </w:trPr>
        <w:tc>
          <w:tcPr>
            <w:tcW w:w="9029" w:type="dxa"/>
            <w:shd w:val="clear" w:color="auto" w:fill="EEF2F6"/>
          </w:tcPr>
          <w:p w14:paraId="34DE8620" w14:textId="77777777" w:rsidR="00453086" w:rsidRDefault="00000000">
            <w:pPr>
              <w:spacing w:before="80" w:after="40"/>
            </w:pPr>
            <w:r>
              <w:rPr>
                <w:rFonts w:ascii="Calibri" w:hAnsi="Calibri"/>
                <w:b/>
                <w:color w:val="182B49"/>
                <w:sz w:val="20"/>
              </w:rPr>
              <w:t>Page 1 Key Message</w:t>
            </w:r>
            <w:r>
              <w:rPr>
                <w:rFonts w:ascii="Calibri" w:hAnsi="Calibri"/>
                <w:b/>
                <w:color w:val="182B49"/>
                <w:sz w:val="20"/>
              </w:rPr>
              <w:br/>
            </w:r>
            <w:r>
              <w:rPr>
                <w:rFonts w:ascii="Calibri" w:hAnsi="Calibri"/>
                <w:i/>
                <w:color w:val="212529"/>
                <w:sz w:val="20"/>
              </w:rPr>
              <w:t>StreamFlix has strong customer engagement, but reducing the current churn level should be the immediate business priority.</w:t>
            </w:r>
          </w:p>
        </w:tc>
      </w:tr>
    </w:tbl>
    <w:p w14:paraId="53FE55A9" w14:textId="4AB2A2F9" w:rsidR="00453086" w:rsidRDefault="00453086"/>
    <w:p w14:paraId="5F291EDE" w14:textId="77777777" w:rsidR="00453086" w:rsidRDefault="00000000">
      <w:pPr>
        <w:spacing w:after="40"/>
      </w:pPr>
      <w:r>
        <w:rPr>
          <w:rFonts w:ascii="Calibri" w:hAnsi="Calibri"/>
          <w:b/>
          <w:color w:val="182B49"/>
          <w:sz w:val="40"/>
        </w:rPr>
        <w:t>RISKS IDENTIFIED &amp; OPPORTUNITIES</w:t>
      </w:r>
    </w:p>
    <w:p w14:paraId="479208C2" w14:textId="77777777" w:rsidR="00453086" w:rsidRDefault="00000000">
      <w:pPr>
        <w:spacing w:before="160" w:after="60"/>
      </w:pPr>
      <w:r>
        <w:rPr>
          <w:rFonts w:ascii="Calibri" w:hAnsi="Calibri"/>
          <w:b/>
          <w:color w:val="0E7490"/>
          <w:sz w:val="23"/>
        </w:rPr>
        <w:t>4. Risks Identified</w:t>
      </w:r>
    </w:p>
    <w:p w14:paraId="4866D9B6" w14:textId="77777777" w:rsidR="00453086" w:rsidRDefault="00000000">
      <w:pPr>
        <w:spacing w:after="100"/>
      </w:pPr>
      <w:r>
        <w:rPr>
          <w:rFonts w:ascii="Calibri" w:hAnsi="Calibri"/>
          <w:b/>
          <w:color w:val="212529"/>
          <w:sz w:val="20"/>
        </w:rPr>
        <w:t xml:space="preserve">Risk 1 — High Subscriber Churn: </w:t>
      </w:r>
      <w:r>
        <w:rPr>
          <w:rFonts w:ascii="Calibri" w:hAnsi="Calibri"/>
          <w:color w:val="212529"/>
          <w:sz w:val="20"/>
        </w:rPr>
        <w:t xml:space="preserve"> The 25.34% churn rate is the clearest business risk identified in the analysis. If customers continue becoming inactive, StreamFlix may need to acquire new subscribers simply to replace customers who leave. This can increase customer acquisition pressure and reduce the value of the existing subscriber base.</w:t>
      </w:r>
      <w:r>
        <w:rPr>
          <w:rFonts w:ascii="Calibri" w:hAnsi="Calibri"/>
          <w:color w:val="212529"/>
          <w:sz w:val="20"/>
        </w:rPr>
        <w:br/>
        <w:t>Management concern: StreamFlix should understand why customers become inactive and create targeted actions to bring them back.</w:t>
      </w:r>
    </w:p>
    <w:p w14:paraId="2CBAEFCA" w14:textId="77777777" w:rsidR="00453086" w:rsidRDefault="00000000">
      <w:pPr>
        <w:spacing w:after="100"/>
      </w:pPr>
      <w:r>
        <w:rPr>
          <w:rFonts w:ascii="Calibri" w:hAnsi="Calibri"/>
          <w:b/>
          <w:color w:val="212529"/>
          <w:sz w:val="20"/>
        </w:rPr>
        <w:t xml:space="preserve">Risk 2 — Content Investment Efficiency: </w:t>
      </w:r>
      <w:r>
        <w:rPr>
          <w:rFonts w:ascii="Calibri" w:hAnsi="Calibri"/>
          <w:color w:val="212529"/>
          <w:sz w:val="20"/>
        </w:rPr>
        <w:t xml:space="preserve"> Content is one of the most important areas of investment for a streaming platform. However, expensive content does not always result in high customer engagement. StreamFlix should therefore compare watch hours with licence spending across different genres. Content that generates strong viewing relative to its cost may provide better value, while expensive content with low viewing should be reviewed carefully.</w:t>
      </w:r>
      <w:r>
        <w:rPr>
          <w:rFonts w:ascii="Calibri" w:hAnsi="Calibri"/>
          <w:color w:val="212529"/>
          <w:sz w:val="20"/>
        </w:rPr>
        <w:br/>
        <w:t>Management concern: Future content spending should be guided by both customer demand and financial efficiency.</w:t>
      </w:r>
    </w:p>
    <w:p w14:paraId="1A8DD59A" w14:textId="77777777" w:rsidR="00453086" w:rsidRDefault="00000000">
      <w:pPr>
        <w:spacing w:after="100"/>
      </w:pPr>
      <w:r>
        <w:rPr>
          <w:rFonts w:ascii="Calibri" w:hAnsi="Calibri"/>
          <w:b/>
          <w:color w:val="212529"/>
          <w:sz w:val="20"/>
        </w:rPr>
        <w:t xml:space="preserve">Risk 3 — Upcoming Licence Expiries: </w:t>
      </w:r>
      <w:r>
        <w:rPr>
          <w:rFonts w:ascii="Calibri" w:hAnsi="Calibri"/>
          <w:color w:val="212529"/>
          <w:sz w:val="20"/>
        </w:rPr>
        <w:t xml:space="preserve"> Some titles have licence expiry dates. If important titles expire without timely renewal decisions, subscribers may lose access to content that they regularly watch. This could reduce customer satisfaction and potentially affect overall viewing activity.</w:t>
      </w:r>
      <w:r>
        <w:rPr>
          <w:rFonts w:ascii="Calibri" w:hAnsi="Calibri"/>
          <w:color w:val="212529"/>
          <w:sz w:val="20"/>
        </w:rPr>
        <w:br/>
        <w:t>Management concern: High-value and highly watched titles approaching licence expiry should receive early attention.</w:t>
      </w:r>
    </w:p>
    <w:p w14:paraId="4E4837C8" w14:textId="77777777" w:rsidR="00453086" w:rsidRDefault="00000000">
      <w:pPr>
        <w:spacing w:after="100"/>
      </w:pPr>
      <w:r>
        <w:rPr>
          <w:rFonts w:ascii="Calibri" w:hAnsi="Calibri"/>
          <w:b/>
          <w:color w:val="212529"/>
          <w:sz w:val="20"/>
        </w:rPr>
        <w:t xml:space="preserve">Risk 4 — Dependence on Popular Content: </w:t>
      </w:r>
      <w:r>
        <w:rPr>
          <w:rFonts w:ascii="Calibri" w:hAnsi="Calibri"/>
          <w:color w:val="212529"/>
          <w:sz w:val="20"/>
        </w:rPr>
        <w:t xml:space="preserve"> Streaming platforms can become dependent on a relatively small number of highly successful titles. If popular titles become unavailable, StreamFlix could experience a reduction in viewing activity.</w:t>
      </w:r>
      <w:r>
        <w:rPr>
          <w:rFonts w:ascii="Calibri" w:hAnsi="Calibri"/>
          <w:color w:val="212529"/>
          <w:sz w:val="20"/>
        </w:rPr>
        <w:br/>
        <w:t>Management concern: StreamFlix should maintain a balanced catalogue with a healthy mix of strong-performing and new content.</w:t>
      </w:r>
    </w:p>
    <w:p w14:paraId="4390CE65" w14:textId="77777777" w:rsidR="00453086" w:rsidRDefault="00000000">
      <w:pPr>
        <w:spacing w:before="160" w:after="60"/>
      </w:pPr>
      <w:r>
        <w:rPr>
          <w:rFonts w:ascii="Calibri" w:hAnsi="Calibri"/>
          <w:b/>
          <w:color w:val="0E7490"/>
          <w:sz w:val="23"/>
        </w:rPr>
        <w:t>5. Opportunities</w:t>
      </w:r>
    </w:p>
    <w:p w14:paraId="523542A1" w14:textId="106E4958" w:rsidR="008D7F2A" w:rsidRPr="008D7F2A" w:rsidRDefault="00000000">
      <w:pPr>
        <w:spacing w:after="100"/>
        <w:rPr>
          <w:rFonts w:ascii="Calibri" w:hAnsi="Calibri"/>
          <w:color w:val="212529"/>
          <w:sz w:val="20"/>
        </w:rPr>
      </w:pPr>
      <w:r>
        <w:rPr>
          <w:rFonts w:ascii="Calibri" w:hAnsi="Calibri"/>
          <w:b/>
          <w:color w:val="212529"/>
          <w:sz w:val="20"/>
        </w:rPr>
        <w:t xml:space="preserve">Opportunity 1 — Convert Existing Engagement into Better Retention: </w:t>
      </w:r>
      <w:r>
        <w:rPr>
          <w:rFonts w:ascii="Calibri" w:hAnsi="Calibri"/>
          <w:color w:val="212529"/>
          <w:sz w:val="20"/>
        </w:rPr>
        <w:t xml:space="preserve"> StreamFlix already has positive engagement indicators. The completion rate is above target and watchlist conversion is also above target. This means the business has an opportunity to use existing customer interest to encourage more frequent and longer-term usage. The objective should be to encourage customers to return regularly</w:t>
      </w:r>
    </w:p>
    <w:p w14:paraId="424A9F47" w14:textId="77777777" w:rsidR="00453086" w:rsidRDefault="00000000">
      <w:pPr>
        <w:pStyle w:val="ListBullet"/>
        <w:spacing w:after="60"/>
      </w:pPr>
      <w:r>
        <w:rPr>
          <w:rFonts w:ascii="Calibri" w:hAnsi="Calibri"/>
          <w:color w:val="212529"/>
          <w:sz w:val="20"/>
        </w:rPr>
        <w:lastRenderedPageBreak/>
        <w:t>Personalised recommendations</w:t>
      </w:r>
    </w:p>
    <w:p w14:paraId="43CD3984" w14:textId="77777777" w:rsidR="00453086" w:rsidRDefault="00000000">
      <w:pPr>
        <w:pStyle w:val="ListBullet"/>
        <w:spacing w:after="60"/>
      </w:pPr>
      <w:r>
        <w:rPr>
          <w:rFonts w:ascii="Calibri" w:hAnsi="Calibri"/>
          <w:color w:val="212529"/>
          <w:sz w:val="20"/>
        </w:rPr>
        <w:t>Reminders for saved content</w:t>
      </w:r>
    </w:p>
    <w:p w14:paraId="332444CF" w14:textId="77777777" w:rsidR="00453086" w:rsidRDefault="00000000">
      <w:pPr>
        <w:pStyle w:val="ListBullet"/>
        <w:spacing w:after="60"/>
      </w:pPr>
      <w:r>
        <w:rPr>
          <w:rFonts w:ascii="Calibri" w:hAnsi="Calibri"/>
          <w:color w:val="212529"/>
          <w:sz w:val="20"/>
        </w:rPr>
        <w:t>Suggestions based on previous viewing</w:t>
      </w:r>
    </w:p>
    <w:p w14:paraId="11709A76" w14:textId="77777777" w:rsidR="00453086" w:rsidRDefault="00000000">
      <w:pPr>
        <w:pStyle w:val="ListBullet"/>
        <w:spacing w:after="60"/>
      </w:pPr>
      <w:r>
        <w:rPr>
          <w:rFonts w:ascii="Calibri" w:hAnsi="Calibri"/>
          <w:color w:val="212529"/>
          <w:sz w:val="20"/>
        </w:rPr>
        <w:t>Recommendations from preferred genres</w:t>
      </w:r>
    </w:p>
    <w:p w14:paraId="27E24B81" w14:textId="77777777" w:rsidR="00453086" w:rsidRDefault="00000000">
      <w:pPr>
        <w:pStyle w:val="ListBullet"/>
        <w:spacing w:after="60"/>
      </w:pPr>
      <w:r>
        <w:rPr>
          <w:rFonts w:ascii="Calibri" w:hAnsi="Calibri"/>
          <w:color w:val="212529"/>
          <w:sz w:val="20"/>
        </w:rPr>
        <w:t>Re-engagement messages for inactive subscribers</w:t>
      </w:r>
    </w:p>
    <w:p w14:paraId="2F7754E7" w14:textId="77777777" w:rsidR="00453086" w:rsidRDefault="00000000">
      <w:pPr>
        <w:spacing w:after="100"/>
      </w:pPr>
      <w:r>
        <w:rPr>
          <w:rFonts w:ascii="Calibri" w:hAnsi="Calibri"/>
          <w:b/>
          <w:color w:val="212529"/>
          <w:sz w:val="20"/>
        </w:rPr>
        <w:t xml:space="preserve">Opportunity 2 — Improve Content Investment Decisions: </w:t>
      </w:r>
      <w:r>
        <w:rPr>
          <w:rFonts w:ascii="Calibri" w:hAnsi="Calibri"/>
          <w:color w:val="212529"/>
          <w:sz w:val="20"/>
        </w:rPr>
        <w:t xml:space="preserve"> The Watch Hours per $1K Spend by Genre analysis provides management with a way to compare viewing activity against licence spending. This can make content investment more selective and evidence-based by clarifying:</w:t>
      </w:r>
    </w:p>
    <w:p w14:paraId="1000EEDF" w14:textId="77777777" w:rsidR="00453086" w:rsidRDefault="00000000">
      <w:pPr>
        <w:pStyle w:val="ListBullet"/>
        <w:spacing w:after="60"/>
      </w:pPr>
      <w:r>
        <w:rPr>
          <w:rFonts w:ascii="Calibri" w:hAnsi="Calibri"/>
          <w:color w:val="212529"/>
          <w:sz w:val="20"/>
        </w:rPr>
        <w:t>Which genres generate the most viewing?</w:t>
      </w:r>
    </w:p>
    <w:p w14:paraId="0ED8A965" w14:textId="77777777" w:rsidR="00453086" w:rsidRDefault="00000000">
      <w:pPr>
        <w:pStyle w:val="ListBullet"/>
        <w:spacing w:after="60"/>
      </w:pPr>
      <w:r>
        <w:rPr>
          <w:rFonts w:ascii="Calibri" w:hAnsi="Calibri"/>
          <w:color w:val="212529"/>
          <w:sz w:val="20"/>
        </w:rPr>
        <w:t>Which genres provide better value for investment?</w:t>
      </w:r>
    </w:p>
    <w:p w14:paraId="28E74D00" w14:textId="77777777" w:rsidR="00453086" w:rsidRDefault="00000000">
      <w:pPr>
        <w:pStyle w:val="ListBullet"/>
        <w:spacing w:after="60"/>
      </w:pPr>
      <w:r>
        <w:rPr>
          <w:rFonts w:ascii="Calibri" w:hAnsi="Calibri"/>
          <w:color w:val="212529"/>
          <w:sz w:val="20"/>
        </w:rPr>
        <w:t>Which content should be renewed?</w:t>
      </w:r>
    </w:p>
    <w:p w14:paraId="4C81D383" w14:textId="77777777" w:rsidR="00453086" w:rsidRDefault="00000000">
      <w:pPr>
        <w:pStyle w:val="ListBullet"/>
        <w:spacing w:after="60"/>
      </w:pPr>
      <w:r>
        <w:rPr>
          <w:rFonts w:ascii="Calibri" w:hAnsi="Calibri"/>
          <w:color w:val="212529"/>
          <w:sz w:val="20"/>
        </w:rPr>
        <w:t>Where should future content spending be increased?</w:t>
      </w:r>
    </w:p>
    <w:p w14:paraId="2B9C329D" w14:textId="77777777" w:rsidR="00453086" w:rsidRDefault="00000000">
      <w:pPr>
        <w:pStyle w:val="ListBullet"/>
        <w:spacing w:after="60"/>
      </w:pPr>
      <w:r>
        <w:rPr>
          <w:rFonts w:ascii="Calibri" w:hAnsi="Calibri"/>
          <w:color w:val="212529"/>
          <w:sz w:val="20"/>
        </w:rPr>
        <w:t>Which expensive content should be reviewed?</w:t>
      </w:r>
    </w:p>
    <w:p w14:paraId="224E8BB3" w14:textId="77777777" w:rsidR="00453086" w:rsidRDefault="00000000">
      <w:pPr>
        <w:spacing w:after="100"/>
      </w:pPr>
      <w:r>
        <w:rPr>
          <w:rFonts w:ascii="Calibri" w:hAnsi="Calibri"/>
          <w:b/>
          <w:color w:val="212529"/>
          <w:sz w:val="20"/>
        </w:rPr>
        <w:t xml:space="preserve">Opportunity 3 — Increase Watchlist Conversion: </w:t>
      </w:r>
      <w:r>
        <w:rPr>
          <w:rFonts w:ascii="Calibri" w:hAnsi="Calibri"/>
          <w:color w:val="212529"/>
          <w:sz w:val="20"/>
        </w:rPr>
        <w:t xml:space="preserve"> The current watchlist conversion rate is 46.23%, which is already above the 40% target. StreamFlix can potentially improve this further by reminding subscribers about content they have saved but not yet watched (e.g. recommending a saved movie when similar content is being watched or sending a relevant reminder after a reasonable period). This increases viewing without requiring the customer to search for new content.</w:t>
      </w:r>
    </w:p>
    <w:p w14:paraId="3A5223A0" w14:textId="77777777" w:rsidR="00453086" w:rsidRDefault="00000000">
      <w:pPr>
        <w:spacing w:after="100"/>
      </w:pPr>
      <w:r>
        <w:rPr>
          <w:rFonts w:ascii="Calibri" w:hAnsi="Calibri"/>
          <w:b/>
          <w:color w:val="212529"/>
          <w:sz w:val="20"/>
        </w:rPr>
        <w:t xml:space="preserve">Opportunity 4 — Use Subscriber and Device Insights: </w:t>
      </w:r>
      <w:r>
        <w:rPr>
          <w:rFonts w:ascii="Calibri" w:hAnsi="Calibri"/>
          <w:color w:val="212529"/>
          <w:sz w:val="20"/>
        </w:rPr>
        <w:t xml:space="preserve"> Subscriber plans, countries and devices provide useful information about customer behaviour. StreamFlix can use these insights to understand which subscriber groups are most active, which devices are most commonly used, which markets have stronger engagement, and where customer retention requires additional attention.</w:t>
      </w:r>
    </w:p>
    <w:p w14:paraId="7C2D838B" w14:textId="77777777" w:rsidR="00453086" w:rsidRDefault="00453086">
      <w:pPr>
        <w:spacing w:before="40" w:after="80"/>
      </w:pPr>
    </w:p>
    <w:tbl>
      <w:tblPr>
        <w:tblW w:w="0" w:type="auto"/>
        <w:jc w:val="center"/>
        <w:tblBorders>
          <w:left w:val="single" w:sz="24" w:space="0" w:color="182B49"/>
        </w:tblBorders>
        <w:tblLayout w:type="fixed"/>
        <w:tblLook w:val="04A0" w:firstRow="1" w:lastRow="0" w:firstColumn="1" w:lastColumn="0" w:noHBand="0" w:noVBand="1"/>
      </w:tblPr>
      <w:tblGrid>
        <w:gridCol w:w="9029"/>
      </w:tblGrid>
      <w:tr w:rsidR="00453086" w14:paraId="513D10B5" w14:textId="77777777">
        <w:trPr>
          <w:jc w:val="center"/>
        </w:trPr>
        <w:tc>
          <w:tcPr>
            <w:tcW w:w="9029" w:type="dxa"/>
            <w:shd w:val="clear" w:color="auto" w:fill="EEF2F6"/>
          </w:tcPr>
          <w:p w14:paraId="791C6434" w14:textId="77777777" w:rsidR="00453086" w:rsidRDefault="00000000">
            <w:pPr>
              <w:spacing w:before="80" w:after="40"/>
            </w:pPr>
            <w:r>
              <w:rPr>
                <w:rFonts w:ascii="Calibri" w:hAnsi="Calibri"/>
                <w:b/>
                <w:color w:val="182B49"/>
                <w:sz w:val="20"/>
              </w:rPr>
              <w:t>Page 2 Key Message</w:t>
            </w:r>
            <w:r>
              <w:rPr>
                <w:rFonts w:ascii="Calibri" w:hAnsi="Calibri"/>
                <w:b/>
                <w:color w:val="182B49"/>
                <w:sz w:val="20"/>
              </w:rPr>
              <w:br/>
            </w:r>
            <w:r>
              <w:rPr>
                <w:rFonts w:ascii="Calibri" w:hAnsi="Calibri"/>
                <w:i/>
                <w:color w:val="212529"/>
                <w:sz w:val="20"/>
              </w:rPr>
              <w:t>The strongest opportunities are to improve retention using existing customer engagement, invest in content more efficiently, and protect valuable titles from licence expiry.</w:t>
            </w:r>
          </w:p>
        </w:tc>
      </w:tr>
    </w:tbl>
    <w:p w14:paraId="34E22395" w14:textId="13297666" w:rsidR="00453086" w:rsidRDefault="00000000" w:rsidP="008D7F2A">
      <w:r>
        <w:rPr>
          <w:rFonts w:ascii="Calibri" w:hAnsi="Calibri"/>
          <w:b/>
          <w:color w:val="182B49"/>
          <w:sz w:val="40"/>
        </w:rPr>
        <w:t>RECOMMENDATIONS &amp; MANAGEMENT CONCLUSION</w:t>
      </w:r>
    </w:p>
    <w:p w14:paraId="627BDA07" w14:textId="77777777" w:rsidR="00453086" w:rsidRDefault="00000000">
      <w:pPr>
        <w:spacing w:before="160" w:after="60"/>
      </w:pPr>
      <w:r>
        <w:rPr>
          <w:rFonts w:ascii="Calibri" w:hAnsi="Calibri"/>
          <w:b/>
          <w:color w:val="0E7490"/>
          <w:sz w:val="23"/>
        </w:rPr>
        <w:t>6. Recommendations</w:t>
      </w:r>
    </w:p>
    <w:p w14:paraId="446822A6" w14:textId="77777777" w:rsidR="00453086" w:rsidRDefault="00000000">
      <w:pPr>
        <w:spacing w:after="100"/>
      </w:pPr>
      <w:r>
        <w:rPr>
          <w:rFonts w:ascii="Calibri" w:hAnsi="Calibri"/>
          <w:b/>
          <w:color w:val="212529"/>
          <w:sz w:val="20"/>
        </w:rPr>
        <w:t xml:space="preserve">Recommendation 1 — Launch a Focused Churn-Reduction Programme: </w:t>
      </w:r>
      <w:r>
        <w:rPr>
          <w:rFonts w:ascii="Calibri" w:hAnsi="Calibri"/>
          <w:color w:val="212529"/>
          <w:sz w:val="20"/>
        </w:rPr>
        <w:t xml:space="preserve"> StreamFlix should identify subscribers whose activity is declining and target them with appropriate retention actions (personalised recommendations, unfinished content reminders, watchlist alerts, relevant promotions, and re-engagement campaigns). The goal is to reduce the current 25.34% churn rate.</w:t>
      </w:r>
      <w:r>
        <w:rPr>
          <w:rFonts w:ascii="Calibri" w:hAnsi="Calibri"/>
          <w:color w:val="212529"/>
          <w:sz w:val="20"/>
        </w:rPr>
        <w:br/>
        <w:t>Expected business benefit: Better customer retention and stronger long-term subscriber value.</w:t>
      </w:r>
    </w:p>
    <w:p w14:paraId="6A06078E" w14:textId="77777777" w:rsidR="00453086" w:rsidRDefault="00000000">
      <w:pPr>
        <w:spacing w:after="100"/>
      </w:pPr>
      <w:r>
        <w:rPr>
          <w:rFonts w:ascii="Calibri" w:hAnsi="Calibri"/>
          <w:b/>
          <w:color w:val="212529"/>
          <w:sz w:val="20"/>
        </w:rPr>
        <w:t xml:space="preserve">Recommendation 2 — Prioritise Content Based on Viewing Value: </w:t>
      </w:r>
      <w:r>
        <w:rPr>
          <w:rFonts w:ascii="Calibri" w:hAnsi="Calibri"/>
          <w:color w:val="212529"/>
          <w:sz w:val="20"/>
        </w:rPr>
        <w:t xml:space="preserve"> StreamFlix should use the Watch Hours per $1K Spend by Genre analysis when making content investment decisions. Genres and titles that generate strong viewing relative to their cost should receive greater attention, while high-cost content with relatively low viewing should be reviewed before additional investment is made.</w:t>
      </w:r>
      <w:r>
        <w:rPr>
          <w:rFonts w:ascii="Calibri" w:hAnsi="Calibri"/>
          <w:color w:val="212529"/>
          <w:sz w:val="20"/>
        </w:rPr>
        <w:br/>
        <w:t>Expected business benefit: Better use of the content budget and improved return from content investments.</w:t>
      </w:r>
    </w:p>
    <w:p w14:paraId="045CB6D8" w14:textId="77777777" w:rsidR="00453086" w:rsidRDefault="00000000">
      <w:pPr>
        <w:spacing w:after="100"/>
      </w:pPr>
      <w:r>
        <w:rPr>
          <w:rFonts w:ascii="Calibri" w:hAnsi="Calibri"/>
          <w:b/>
          <w:color w:val="212529"/>
          <w:sz w:val="20"/>
        </w:rPr>
        <w:t xml:space="preserve">Recommendation 3 — Strengthen Recommendations and Watchlist Reminders: </w:t>
      </w:r>
      <w:r>
        <w:rPr>
          <w:rFonts w:ascii="Calibri" w:hAnsi="Calibri"/>
          <w:color w:val="212529"/>
          <w:sz w:val="20"/>
        </w:rPr>
        <w:t xml:space="preserve"> StreamFlix should make greater use of customer viewing behaviour and saved content. Timely reminders and personalised recommendations should replace identical suggestions for every customer.</w:t>
      </w:r>
      <w:r>
        <w:rPr>
          <w:rFonts w:ascii="Calibri" w:hAnsi="Calibri"/>
          <w:color w:val="212529"/>
          <w:sz w:val="20"/>
        </w:rPr>
        <w:br/>
        <w:t>Expected business benefit: Increased repeat viewing and higher total watch hours.</w:t>
      </w:r>
    </w:p>
    <w:p w14:paraId="73DF314A" w14:textId="77777777" w:rsidR="00453086" w:rsidRDefault="00000000">
      <w:pPr>
        <w:spacing w:after="100"/>
      </w:pPr>
      <w:r>
        <w:rPr>
          <w:rFonts w:ascii="Calibri" w:hAnsi="Calibri"/>
          <w:b/>
          <w:color w:val="212529"/>
          <w:sz w:val="20"/>
        </w:rPr>
        <w:lastRenderedPageBreak/>
        <w:t xml:space="preserve">Recommendation 4 — Create a Licence-Expiry Review Process: </w:t>
      </w:r>
      <w:r>
        <w:rPr>
          <w:rFonts w:ascii="Calibri" w:hAnsi="Calibri"/>
          <w:color w:val="212529"/>
          <w:sz w:val="20"/>
        </w:rPr>
        <w:t xml:space="preserve"> Management should maintain a regular review of titles whose licences are approaching expiry, prioritised by recent watch hours, customer interest, licence cost, and catalogue importance.</w:t>
      </w:r>
      <w:r>
        <w:rPr>
          <w:rFonts w:ascii="Calibri" w:hAnsi="Calibri"/>
          <w:color w:val="212529"/>
          <w:sz w:val="20"/>
        </w:rPr>
        <w:br/>
        <w:t>Expected business benefit: Reduced risk of losing valuable content and better control over catalogue availability.</w:t>
      </w:r>
    </w:p>
    <w:p w14:paraId="5472E642" w14:textId="77777777" w:rsidR="00453086" w:rsidRDefault="00000000">
      <w:pPr>
        <w:spacing w:after="100"/>
      </w:pPr>
      <w:r>
        <w:rPr>
          <w:rFonts w:ascii="Calibri" w:hAnsi="Calibri"/>
          <w:b/>
          <w:color w:val="212529"/>
          <w:sz w:val="20"/>
        </w:rPr>
        <w:t xml:space="preserve">Recommendation 5 — Make the Dashboard a Monthly Management Tool: </w:t>
      </w:r>
      <w:r>
        <w:rPr>
          <w:rFonts w:ascii="Calibri" w:hAnsi="Calibri"/>
          <w:color w:val="212529"/>
          <w:sz w:val="20"/>
        </w:rPr>
        <w:t xml:space="preserve"> The Power BI dashboard should be reviewed monthly to monitor total watch hours, active subscriber rate, churn rate, completion rate, watchlist conversion, content performance, and licence expiries to enable rapid corrective action.</w:t>
      </w:r>
      <w:r>
        <w:rPr>
          <w:rFonts w:ascii="Calibri" w:hAnsi="Calibri"/>
          <w:color w:val="212529"/>
          <w:sz w:val="20"/>
        </w:rPr>
        <w:br/>
        <w:t>Expected business benefit: Faster decision-making and better ongoing control of platform performance.</w:t>
      </w:r>
    </w:p>
    <w:p w14:paraId="56F84DEA" w14:textId="77777777" w:rsidR="00453086" w:rsidRDefault="00000000">
      <w:pPr>
        <w:spacing w:before="160" w:after="60"/>
      </w:pPr>
      <w:r>
        <w:rPr>
          <w:rFonts w:ascii="Calibri" w:hAnsi="Calibri"/>
          <w:b/>
          <w:color w:val="0E7490"/>
          <w:sz w:val="23"/>
        </w:rPr>
        <w:t>7. Management Conclusion</w:t>
      </w:r>
    </w:p>
    <w:p w14:paraId="0ED1DEFB" w14:textId="77777777" w:rsidR="00453086" w:rsidRDefault="00000000">
      <w:pPr>
        <w:spacing w:after="100"/>
      </w:pPr>
      <w:r>
        <w:rPr>
          <w:rFonts w:ascii="Calibri" w:hAnsi="Calibri"/>
          <w:color w:val="212529"/>
          <w:sz w:val="20"/>
        </w:rPr>
        <w:t>Overall, StreamFlix is in a reasonably strong position based on the analysed platform data. The platform has generated approximately 3.33 million watch hours, while the 74.66% active subscriber rate is above the 70% target. Customer engagement is also positive, with an average completion rate of 65.31% and a watchlist conversion rate of 46.23%, both above their respective targets.</w:t>
      </w:r>
    </w:p>
    <w:p w14:paraId="2463F5E9" w14:textId="77777777" w:rsidR="00453086" w:rsidRDefault="00000000">
      <w:pPr>
        <w:spacing w:after="100"/>
      </w:pPr>
      <w:r>
        <w:rPr>
          <w:rFonts w:ascii="Calibri" w:hAnsi="Calibri"/>
          <w:color w:val="212529"/>
          <w:sz w:val="20"/>
        </w:rPr>
        <w:t>The main concern is the 25.34% churn rate. The business does not need to focus only on acquiring new customers; it should also make better use of its existing customer engagement through personalised recommendations, watchlist reminders, and targeted retention campaigns.</w:t>
      </w:r>
    </w:p>
    <w:p w14:paraId="29DDC45C" w14:textId="77777777" w:rsidR="00453086" w:rsidRDefault="00000000">
      <w:pPr>
        <w:spacing w:before="160" w:after="60"/>
      </w:pPr>
      <w:r>
        <w:rPr>
          <w:rFonts w:ascii="Calibri" w:hAnsi="Calibri"/>
          <w:b/>
          <w:color w:val="0E7490"/>
          <w:sz w:val="23"/>
        </w:rPr>
        <w:t>8. Key Management Priorities</w:t>
      </w:r>
    </w:p>
    <w:tbl>
      <w:tblPr>
        <w:tblW w:w="0" w:type="auto"/>
        <w:jc w:val="center"/>
        <w:tblBorders>
          <w:top w:val="single" w:sz="4" w:space="0" w:color="CCCCCC"/>
          <w:bottom w:val="single" w:sz="8" w:space="0" w:color="182B49"/>
          <w:insideH w:val="single" w:sz="4" w:space="0" w:color="E5E7EB"/>
        </w:tblBorders>
        <w:tblLook w:val="04A0" w:firstRow="1" w:lastRow="0" w:firstColumn="1" w:lastColumn="0" w:noHBand="0" w:noVBand="1"/>
      </w:tblPr>
      <w:tblGrid>
        <w:gridCol w:w="1440"/>
        <w:gridCol w:w="7589"/>
      </w:tblGrid>
      <w:tr w:rsidR="00453086" w14:paraId="4D8643FB" w14:textId="77777777">
        <w:trPr>
          <w:jc w:val="center"/>
        </w:trPr>
        <w:tc>
          <w:tcPr>
            <w:tcW w:w="1440" w:type="dxa"/>
            <w:shd w:val="clear" w:color="auto" w:fill="182B49"/>
          </w:tcPr>
          <w:p w14:paraId="3BC2D9A9" w14:textId="77777777" w:rsidR="00453086" w:rsidRDefault="00000000">
            <w:pPr>
              <w:spacing w:before="80" w:after="80"/>
            </w:pPr>
            <w:r>
              <w:rPr>
                <w:rFonts w:ascii="Calibri" w:hAnsi="Calibri"/>
                <w:b/>
                <w:color w:val="FFFFFF"/>
                <w:sz w:val="19"/>
              </w:rPr>
              <w:t>Priority</w:t>
            </w:r>
          </w:p>
        </w:tc>
        <w:tc>
          <w:tcPr>
            <w:tcW w:w="7589" w:type="dxa"/>
            <w:shd w:val="clear" w:color="auto" w:fill="182B49"/>
          </w:tcPr>
          <w:p w14:paraId="3D24F2E0" w14:textId="77777777" w:rsidR="00453086" w:rsidRDefault="00000000">
            <w:pPr>
              <w:spacing w:before="80" w:after="80"/>
            </w:pPr>
            <w:r>
              <w:rPr>
                <w:rFonts w:ascii="Calibri" w:hAnsi="Calibri"/>
                <w:b/>
                <w:color w:val="FFFFFF"/>
                <w:sz w:val="19"/>
              </w:rPr>
              <w:t>Action</w:t>
            </w:r>
          </w:p>
        </w:tc>
      </w:tr>
      <w:tr w:rsidR="00453086" w14:paraId="2624CF0A" w14:textId="77777777">
        <w:trPr>
          <w:jc w:val="center"/>
        </w:trPr>
        <w:tc>
          <w:tcPr>
            <w:tcW w:w="1440" w:type="dxa"/>
            <w:shd w:val="clear" w:color="auto" w:fill="FFFFFF"/>
          </w:tcPr>
          <w:p w14:paraId="32EACE66" w14:textId="77777777" w:rsidR="00453086" w:rsidRDefault="00000000">
            <w:pPr>
              <w:spacing w:before="60" w:after="60"/>
            </w:pPr>
            <w:r>
              <w:rPr>
                <w:rFonts w:ascii="Calibri" w:hAnsi="Calibri"/>
                <w:b/>
                <w:color w:val="212529"/>
                <w:sz w:val="19"/>
              </w:rPr>
              <w:t>1</w:t>
            </w:r>
          </w:p>
        </w:tc>
        <w:tc>
          <w:tcPr>
            <w:tcW w:w="7589" w:type="dxa"/>
            <w:shd w:val="clear" w:color="auto" w:fill="FFFFFF"/>
          </w:tcPr>
          <w:p w14:paraId="74FCED34" w14:textId="77777777" w:rsidR="00453086" w:rsidRDefault="00000000">
            <w:pPr>
              <w:spacing w:before="60" w:after="60"/>
            </w:pPr>
            <w:r>
              <w:rPr>
                <w:rFonts w:ascii="Calibri" w:hAnsi="Calibri"/>
                <w:color w:val="212529"/>
                <w:sz w:val="19"/>
              </w:rPr>
              <w:t>Reduce the current 25.34% churn rate</w:t>
            </w:r>
          </w:p>
        </w:tc>
      </w:tr>
      <w:tr w:rsidR="00453086" w14:paraId="44A93B06" w14:textId="77777777">
        <w:trPr>
          <w:jc w:val="center"/>
        </w:trPr>
        <w:tc>
          <w:tcPr>
            <w:tcW w:w="1440" w:type="dxa"/>
            <w:shd w:val="clear" w:color="auto" w:fill="F8FAFC"/>
          </w:tcPr>
          <w:p w14:paraId="6D2782E1" w14:textId="77777777" w:rsidR="00453086" w:rsidRDefault="00000000">
            <w:pPr>
              <w:spacing w:before="60" w:after="60"/>
            </w:pPr>
            <w:r>
              <w:rPr>
                <w:rFonts w:ascii="Calibri" w:hAnsi="Calibri"/>
                <w:b/>
                <w:color w:val="212529"/>
                <w:sz w:val="19"/>
              </w:rPr>
              <w:t>2</w:t>
            </w:r>
          </w:p>
        </w:tc>
        <w:tc>
          <w:tcPr>
            <w:tcW w:w="7589" w:type="dxa"/>
            <w:shd w:val="clear" w:color="auto" w:fill="F8FAFC"/>
          </w:tcPr>
          <w:p w14:paraId="1FD4E02F" w14:textId="77777777" w:rsidR="00453086" w:rsidRDefault="00000000">
            <w:pPr>
              <w:spacing w:before="60" w:after="60"/>
            </w:pPr>
            <w:r>
              <w:rPr>
                <w:rFonts w:ascii="Calibri" w:hAnsi="Calibri"/>
                <w:color w:val="212529"/>
                <w:sz w:val="19"/>
              </w:rPr>
              <w:t>Protect and grow the 74.66% active subscriber base</w:t>
            </w:r>
          </w:p>
        </w:tc>
      </w:tr>
      <w:tr w:rsidR="00453086" w14:paraId="7CD70967" w14:textId="77777777">
        <w:trPr>
          <w:jc w:val="center"/>
        </w:trPr>
        <w:tc>
          <w:tcPr>
            <w:tcW w:w="1440" w:type="dxa"/>
            <w:shd w:val="clear" w:color="auto" w:fill="FFFFFF"/>
          </w:tcPr>
          <w:p w14:paraId="2B4A27C1" w14:textId="77777777" w:rsidR="00453086" w:rsidRDefault="00000000">
            <w:pPr>
              <w:spacing w:before="60" w:after="60"/>
            </w:pPr>
            <w:r>
              <w:rPr>
                <w:rFonts w:ascii="Calibri" w:hAnsi="Calibri"/>
                <w:b/>
                <w:color w:val="212529"/>
                <w:sz w:val="19"/>
              </w:rPr>
              <w:t>3</w:t>
            </w:r>
          </w:p>
        </w:tc>
        <w:tc>
          <w:tcPr>
            <w:tcW w:w="7589" w:type="dxa"/>
            <w:shd w:val="clear" w:color="auto" w:fill="FFFFFF"/>
          </w:tcPr>
          <w:p w14:paraId="56E3D108" w14:textId="77777777" w:rsidR="00453086" w:rsidRDefault="00000000">
            <w:pPr>
              <w:spacing w:before="60" w:after="60"/>
            </w:pPr>
            <w:r>
              <w:rPr>
                <w:rFonts w:ascii="Calibri" w:hAnsi="Calibri"/>
                <w:color w:val="212529"/>
                <w:sz w:val="19"/>
              </w:rPr>
              <w:t>Maintain completion above the 60% target</w:t>
            </w:r>
          </w:p>
        </w:tc>
      </w:tr>
      <w:tr w:rsidR="00453086" w14:paraId="373AAE95" w14:textId="77777777">
        <w:trPr>
          <w:jc w:val="center"/>
        </w:trPr>
        <w:tc>
          <w:tcPr>
            <w:tcW w:w="1440" w:type="dxa"/>
            <w:shd w:val="clear" w:color="auto" w:fill="F8FAFC"/>
          </w:tcPr>
          <w:p w14:paraId="6090AB07" w14:textId="77777777" w:rsidR="00453086" w:rsidRDefault="00000000">
            <w:pPr>
              <w:spacing w:before="60" w:after="60"/>
            </w:pPr>
            <w:r>
              <w:rPr>
                <w:rFonts w:ascii="Calibri" w:hAnsi="Calibri"/>
                <w:b/>
                <w:color w:val="212529"/>
                <w:sz w:val="19"/>
              </w:rPr>
              <w:t>4</w:t>
            </w:r>
          </w:p>
        </w:tc>
        <w:tc>
          <w:tcPr>
            <w:tcW w:w="7589" w:type="dxa"/>
            <w:shd w:val="clear" w:color="auto" w:fill="F8FAFC"/>
          </w:tcPr>
          <w:p w14:paraId="28FE1A10" w14:textId="77777777" w:rsidR="00453086" w:rsidRDefault="00000000">
            <w:pPr>
              <w:spacing w:before="60" w:after="60"/>
            </w:pPr>
            <w:r>
              <w:rPr>
                <w:rFonts w:ascii="Calibri" w:hAnsi="Calibri"/>
                <w:color w:val="212529"/>
                <w:sz w:val="19"/>
              </w:rPr>
              <w:t>Improve content investment efficiency</w:t>
            </w:r>
          </w:p>
        </w:tc>
      </w:tr>
      <w:tr w:rsidR="00453086" w14:paraId="7E89538C" w14:textId="77777777">
        <w:trPr>
          <w:jc w:val="center"/>
        </w:trPr>
        <w:tc>
          <w:tcPr>
            <w:tcW w:w="1440" w:type="dxa"/>
            <w:shd w:val="clear" w:color="auto" w:fill="FFFFFF"/>
          </w:tcPr>
          <w:p w14:paraId="61484AA4" w14:textId="77777777" w:rsidR="00453086" w:rsidRDefault="00000000">
            <w:pPr>
              <w:spacing w:before="60" w:after="60"/>
            </w:pPr>
            <w:r>
              <w:rPr>
                <w:rFonts w:ascii="Calibri" w:hAnsi="Calibri"/>
                <w:b/>
                <w:color w:val="212529"/>
                <w:sz w:val="19"/>
              </w:rPr>
              <w:t>5</w:t>
            </w:r>
          </w:p>
        </w:tc>
        <w:tc>
          <w:tcPr>
            <w:tcW w:w="7589" w:type="dxa"/>
            <w:shd w:val="clear" w:color="auto" w:fill="FFFFFF"/>
          </w:tcPr>
          <w:p w14:paraId="2D645E7B" w14:textId="77777777" w:rsidR="00453086" w:rsidRDefault="00000000">
            <w:pPr>
              <w:spacing w:before="60" w:after="60"/>
            </w:pPr>
            <w:r>
              <w:rPr>
                <w:rFonts w:ascii="Calibri" w:hAnsi="Calibri"/>
                <w:color w:val="212529"/>
                <w:sz w:val="19"/>
              </w:rPr>
              <w:t>Monitor upcoming licence expiries</w:t>
            </w:r>
          </w:p>
        </w:tc>
      </w:tr>
      <w:tr w:rsidR="00453086" w14:paraId="6A5C0B09" w14:textId="77777777">
        <w:trPr>
          <w:jc w:val="center"/>
        </w:trPr>
        <w:tc>
          <w:tcPr>
            <w:tcW w:w="1440" w:type="dxa"/>
            <w:shd w:val="clear" w:color="auto" w:fill="F8FAFC"/>
          </w:tcPr>
          <w:p w14:paraId="75570AE8" w14:textId="77777777" w:rsidR="00453086" w:rsidRDefault="00000000">
            <w:pPr>
              <w:spacing w:before="60" w:after="60"/>
            </w:pPr>
            <w:r>
              <w:rPr>
                <w:rFonts w:ascii="Calibri" w:hAnsi="Calibri"/>
                <w:b/>
                <w:color w:val="212529"/>
                <w:sz w:val="19"/>
              </w:rPr>
              <w:t>6</w:t>
            </w:r>
          </w:p>
        </w:tc>
        <w:tc>
          <w:tcPr>
            <w:tcW w:w="7589" w:type="dxa"/>
            <w:shd w:val="clear" w:color="auto" w:fill="F8FAFC"/>
          </w:tcPr>
          <w:p w14:paraId="274A5999" w14:textId="77777777" w:rsidR="00453086" w:rsidRDefault="00000000">
            <w:pPr>
              <w:spacing w:before="60" w:after="60"/>
            </w:pPr>
            <w:r>
              <w:rPr>
                <w:rFonts w:ascii="Calibri" w:hAnsi="Calibri"/>
                <w:color w:val="212529"/>
                <w:sz w:val="19"/>
              </w:rPr>
              <w:t>Increase repeat viewing through personalised recommendations</w:t>
            </w:r>
          </w:p>
        </w:tc>
      </w:tr>
    </w:tbl>
    <w:p w14:paraId="68204AE8" w14:textId="77777777" w:rsidR="00453086" w:rsidRDefault="00453086">
      <w:pPr>
        <w:spacing w:before="80" w:after="80"/>
      </w:pPr>
    </w:p>
    <w:tbl>
      <w:tblPr>
        <w:tblW w:w="0" w:type="auto"/>
        <w:jc w:val="center"/>
        <w:tblBorders>
          <w:left w:val="single" w:sz="24" w:space="0" w:color="182B49"/>
        </w:tblBorders>
        <w:tblLayout w:type="fixed"/>
        <w:tblLook w:val="04A0" w:firstRow="1" w:lastRow="0" w:firstColumn="1" w:lastColumn="0" w:noHBand="0" w:noVBand="1"/>
      </w:tblPr>
      <w:tblGrid>
        <w:gridCol w:w="9029"/>
      </w:tblGrid>
      <w:tr w:rsidR="00453086" w14:paraId="60097AAB" w14:textId="77777777">
        <w:trPr>
          <w:jc w:val="center"/>
        </w:trPr>
        <w:tc>
          <w:tcPr>
            <w:tcW w:w="9029" w:type="dxa"/>
            <w:shd w:val="clear" w:color="auto" w:fill="EEF2F6"/>
          </w:tcPr>
          <w:p w14:paraId="39E6A30A" w14:textId="77777777" w:rsidR="00453086" w:rsidRDefault="00000000">
            <w:pPr>
              <w:spacing w:before="80" w:after="40"/>
            </w:pPr>
            <w:r>
              <w:rPr>
                <w:rFonts w:ascii="Calibri" w:hAnsi="Calibri"/>
                <w:b/>
                <w:color w:val="182B49"/>
                <w:sz w:val="20"/>
              </w:rPr>
              <w:t>Final Management Message</w:t>
            </w:r>
            <w:r>
              <w:rPr>
                <w:rFonts w:ascii="Calibri" w:hAnsi="Calibri"/>
                <w:b/>
                <w:color w:val="182B49"/>
                <w:sz w:val="20"/>
              </w:rPr>
              <w:br/>
            </w:r>
            <w:r>
              <w:rPr>
                <w:rFonts w:ascii="Calibri" w:hAnsi="Calibri"/>
                <w:i/>
                <w:color w:val="212529"/>
                <w:sz w:val="20"/>
              </w:rPr>
              <w:t>“StreamFlix has a strong engagement foundation. The next stage of growth should focus on retaining existing customers, investing in content more efficiently, and protecting the titles that matter most to viewers.”</w:t>
            </w:r>
          </w:p>
        </w:tc>
      </w:tr>
    </w:tbl>
    <w:p w14:paraId="66B3C943" w14:textId="77777777" w:rsidR="00F1283E" w:rsidRDefault="00F1283E"/>
    <w:sectPr w:rsidR="00F1283E" w:rsidSect="00034616">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1CD56" w14:textId="77777777" w:rsidR="00F1283E" w:rsidRDefault="00F1283E" w:rsidP="008D7F2A">
      <w:pPr>
        <w:spacing w:after="0" w:line="240" w:lineRule="auto"/>
      </w:pPr>
      <w:r>
        <w:separator/>
      </w:r>
    </w:p>
  </w:endnote>
  <w:endnote w:type="continuationSeparator" w:id="0">
    <w:p w14:paraId="7062D9A4" w14:textId="77777777" w:rsidR="00F1283E" w:rsidRDefault="00F1283E" w:rsidP="008D7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F30FA" w14:textId="77777777" w:rsidR="00F1283E" w:rsidRDefault="00F1283E" w:rsidP="008D7F2A">
      <w:pPr>
        <w:spacing w:after="0" w:line="240" w:lineRule="auto"/>
      </w:pPr>
      <w:r>
        <w:separator/>
      </w:r>
    </w:p>
  </w:footnote>
  <w:footnote w:type="continuationSeparator" w:id="0">
    <w:p w14:paraId="201C9F95" w14:textId="77777777" w:rsidR="00F1283E" w:rsidRDefault="00F1283E" w:rsidP="008D7F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0274784">
    <w:abstractNumId w:val="8"/>
  </w:num>
  <w:num w:numId="2" w16cid:durableId="1888909062">
    <w:abstractNumId w:val="6"/>
  </w:num>
  <w:num w:numId="3" w16cid:durableId="1357731284">
    <w:abstractNumId w:val="5"/>
  </w:num>
  <w:num w:numId="4" w16cid:durableId="2108497179">
    <w:abstractNumId w:val="4"/>
  </w:num>
  <w:num w:numId="5" w16cid:durableId="1947538526">
    <w:abstractNumId w:val="7"/>
  </w:num>
  <w:num w:numId="6" w16cid:durableId="264653174">
    <w:abstractNumId w:val="3"/>
  </w:num>
  <w:num w:numId="7" w16cid:durableId="2143034961">
    <w:abstractNumId w:val="2"/>
  </w:num>
  <w:num w:numId="8" w16cid:durableId="251817897">
    <w:abstractNumId w:val="1"/>
  </w:num>
  <w:num w:numId="9" w16cid:durableId="1067071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3086"/>
    <w:rsid w:val="008D7F2A"/>
    <w:rsid w:val="00AA1D8D"/>
    <w:rsid w:val="00B47730"/>
    <w:rsid w:val="00CB0664"/>
    <w:rsid w:val="00D64394"/>
    <w:rsid w:val="00F128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FADA7"/>
  <w14:defaultImageDpi w14:val="300"/>
  <w15:docId w15:val="{AC73E8A8-7E07-4A5B-8C65-C4BC9A717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1598</Words>
  <Characters>9113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SUMAN</cp:lastModifiedBy>
  <cp:revision>2</cp:revision>
  <dcterms:created xsi:type="dcterms:W3CDTF">2026-09-06T11:37:00Z</dcterms:created>
  <dcterms:modified xsi:type="dcterms:W3CDTF">2026-09-06T11:37:00Z</dcterms:modified>
  <cp:category/>
</cp:coreProperties>
</file>