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D13201" w14:textId="22124F40">
      <w:pPr>
        <w:pBdr/>
        <w:spacing/>
        <w:ind/>
        <w:jc w:val="center"/>
        <w:rPr>
          <w:rFonts w:ascii="Arial" w:hAnsi="Arial" w:eastAsia="Arial" w:cs="Arial"/>
          <w:b/>
          <w:bCs/>
          <w:color w:val="auto"/>
          <w:sz w:val="32"/>
          <w:szCs w:val="32"/>
        </w:rPr>
      </w:pPr>
      <w:r>
        <w:rPr>
          <w:rFonts w:ascii="Arial" w:hAnsi="Arial" w:eastAsia="Arial" w:cs="Arial"/>
          <w:b/>
          <w:bCs/>
          <w:color w:val="auto"/>
          <w:sz w:val="32"/>
          <w:szCs w:val="32"/>
        </w:rPr>
        <w:t xml:space="preserve">Exploratory Data Analysis (EDA) Summary </w:t>
      </w:r>
      <w:r>
        <w:br/>
      </w:r>
      <w:r>
        <w:rPr>
          <w:rFonts w:ascii="Arial" w:hAnsi="Arial" w:eastAsia="Arial" w:cs="Arial"/>
          <w:b/>
          <w:bCs/>
          <w:color w:val="auto"/>
          <w:sz w:val="32"/>
          <w:szCs w:val="32"/>
        </w:rPr>
        <w:t xml:space="preserve">Report</w:t>
      </w:r>
      <w:r>
        <w:rPr>
          <w:rFonts w:ascii="Arial" w:hAnsi="Arial" w:eastAsia="Arial" w:cs="Arial"/>
          <w:b/>
          <w:bCs/>
          <w:color w:val="auto"/>
          <w:sz w:val="32"/>
          <w:szCs w:val="32"/>
        </w:rPr>
      </w:r>
    </w:p>
    <w:p w14:paraId="672A6659" w14:textId="77777777">
      <w:pPr>
        <w:pBdr/>
        <w:spacing/>
        <w:ind/>
        <w:rPr>
          <w:rFonts w:ascii="Arial" w:hAnsi="Arial" w:eastAsia="Arial" w:cs="Arial"/>
          <w:color w:val="auto"/>
        </w:rPr>
      </w:pPr>
      <w:r>
        <w:br/>
      </w:r>
      <w:r>
        <w:rPr>
          <w:rFonts w:ascii="Arial" w:hAnsi="Arial" w:eastAsia="Arial" w:cs="Arial"/>
          <w:color w:val="auto"/>
        </w:rPr>
      </w:r>
    </w:p>
    <w:p w14:paraId="32A36C38" w14:textId="77777777">
      <w:pPr>
        <w:pStyle w:val="693"/>
        <w:pBdr/>
        <w:spacing/>
        <w:ind/>
        <w:rPr>
          <w:rFonts w:ascii="Arial" w:hAnsi="Arial" w:eastAsia="Arial" w:cs="Arial"/>
          <w:color w:val="auto"/>
        </w:rPr>
      </w:pPr>
      <w:r>
        <w:rPr>
          <w:rFonts w:ascii="Arial" w:hAnsi="Arial" w:eastAsia="Arial" w:cs="Arial"/>
          <w:color w:val="auto"/>
        </w:rPr>
        <w:t xml:space="preserve">1. Introduction</w:t>
      </w:r>
      <w:r>
        <w:rPr>
          <w:rFonts w:ascii="Arial" w:hAnsi="Arial" w:eastAsia="Arial" w:cs="Arial"/>
          <w:color w:val="auto"/>
        </w:rPr>
      </w:r>
    </w:p>
    <w:p w14:paraId="07A628E0" w14:textId="04DACE6A">
      <w:pPr>
        <w:pStyle w:val="688"/>
        <w:suppressLineNumbers w:val="false"/>
        <w:pBdr/>
        <w:bidi w:val="false"/>
        <w:spacing w:after="200" w:afterAutospacing="0" w:before="0" w:beforeAutospacing="0" w:line="276" w:lineRule="auto"/>
        <w:ind w:right="0" w:left="0"/>
        <w:jc w:val="left"/>
        <w:rPr/>
      </w:pPr>
      <w:r>
        <w:rPr>
          <w:rFonts w:ascii="Arial" w:hAnsi="Arial" w:eastAsia="Arial" w:cs="Arial"/>
          <w:color w:val="auto"/>
        </w:rPr>
        <w:t xml:space="preserve">The purpose of this report is to conduct an Exploratory Data Analysis (EDA) on Geldium’s customer financial dataset to assess data quality, identify inconsistencies, and uncover potential delinquency risk factors. The analysis aims to support Tata iQ’s analytics team in improving predictive modeling accuracy and strengthening early intervention strategies for high-risk customers. Various statistical and visualization techniques were used to examine relationships between financial variables and potential delinquency indicator. </w:t>
      </w:r>
      <w:r/>
    </w:p>
    <w:p w14:paraId="5F1C37D1" w14:textId="77777777">
      <w:pPr>
        <w:pStyle w:val="693"/>
        <w:pBdr/>
        <w:spacing/>
        <w:ind/>
        <w:rPr>
          <w:rFonts w:ascii="Arial" w:hAnsi="Arial" w:eastAsia="Arial" w:cs="Arial"/>
          <w:color w:val="auto"/>
        </w:rPr>
      </w:pPr>
      <w:r>
        <w:rPr>
          <w:rFonts w:ascii="Arial" w:hAnsi="Arial" w:eastAsia="Arial" w:cs="Arial"/>
          <w:color w:val="auto"/>
        </w:rPr>
        <w:t xml:space="preserve">2. Dataset Overview</w:t>
      </w:r>
      <w:r>
        <w:rPr>
          <w:rFonts w:ascii="Arial" w:hAnsi="Arial" w:eastAsia="Arial" w:cs="Arial"/>
          <w:color w:val="auto"/>
        </w:rPr>
      </w:r>
    </w:p>
    <w:p w14:paraId="271DC243" w14:textId="77777777">
      <w:pPr>
        <w:pBdr/>
        <w:spacing/>
        <w:ind/>
        <w:rPr>
          <w:rFonts w:ascii="Arial" w:hAnsi="Arial" w:eastAsia="Arial" w:cs="Arial"/>
          <w:color w:val="auto"/>
        </w:rPr>
      </w:pPr>
      <w:r>
        <w:rPr>
          <w:rFonts w:ascii="Arial" w:hAnsi="Arial" w:eastAsia="Arial" w:cs="Arial"/>
          <w:color w:val="auto"/>
        </w:rPr>
        <w:t xml:space="preserve">This Dataset contains customer financial and credit-related information used for delinquency risk analysis. The dataset includes demographic , financial, and behavioral variables relevant to predicting and account delinquency.</w:t>
      </w:r>
      <w:r>
        <w:rPr>
          <w:rFonts w:ascii="Arial" w:hAnsi="Arial" w:eastAsia="Arial" w:cs="Arial"/>
          <w:color w:val="auto"/>
        </w:rPr>
      </w:r>
    </w:p>
    <w:p w14:paraId="503AF596" w14:textId="77777777">
      <w:pPr>
        <w:pBdr/>
        <w:spacing/>
        <w:ind/>
        <w:rPr>
          <w:rFonts w:ascii="Arial" w:hAnsi="Arial" w:eastAsia="Arial" w:cs="Arial"/>
          <w:color w:val="auto"/>
        </w:rPr>
      </w:pPr>
      <w:r>
        <w:rPr>
          <w:rFonts w:ascii="Arial" w:hAnsi="Arial" w:eastAsia="Arial" w:cs="Arial"/>
          <w:color w:val="auto"/>
        </w:rPr>
        <w:t xml:space="preserve">Key dataset attributes:</w:t>
      </w:r>
      <w:r>
        <w:rPr>
          <w:rFonts w:ascii="Arial" w:hAnsi="Arial" w:eastAsia="Arial" w:cs="Arial"/>
          <w:color w:val="auto"/>
        </w:rPr>
      </w:r>
    </w:p>
    <w:p w14:paraId="42B2C3E9" w14:textId="77777777">
      <w:pPr>
        <w:pBdr/>
        <w:spacing/>
        <w:ind/>
        <w:rPr>
          <w:rFonts w:ascii="Arial" w:hAnsi="Arial" w:eastAsia="Arial" w:cs="Arial"/>
          <w:color w:val="auto"/>
        </w:rPr>
      </w:pPr>
      <w:r>
        <w:rPr>
          <w:rFonts w:ascii="Arial" w:hAnsi="Arial" w:eastAsia="Arial" w:cs="Arial"/>
          <w:color w:val="auto"/>
        </w:rPr>
        <w:t xml:space="preserve">- Number of records: [500]</w:t>
      </w:r>
      <w:r>
        <w:rPr>
          <w:rFonts w:ascii="Arial" w:hAnsi="Arial" w:eastAsia="Arial" w:cs="Arial"/>
          <w:color w:val="auto"/>
        </w:rPr>
      </w:r>
    </w:p>
    <w:p w14:paraId="66D18F34" w14:textId="77777777">
      <w:pPr>
        <w:pBdr/>
        <w:spacing/>
        <w:ind/>
        <w:rPr>
          <w:rFonts w:ascii="Arial" w:hAnsi="Arial" w:eastAsia="Arial" w:cs="Arial"/>
          <w:color w:val="auto"/>
          <w:highlight w:val="none"/>
        </w:rPr>
      </w:pPr>
      <w:r>
        <w:rPr>
          <w:rFonts w:ascii="Arial" w:hAnsi="Arial" w:eastAsia="Arial" w:cs="Arial"/>
          <w:color w:val="auto"/>
        </w:rPr>
        <w:t xml:space="preserve">- Key variables: </w:t>
      </w:r>
      <w:r>
        <w:rPr>
          <w:rFonts w:ascii="Arial" w:hAnsi="Arial" w:eastAsia="Arial" w:cs="Arial"/>
          <w:color w:val="auto"/>
        </w:rPr>
      </w:r>
    </w:p>
    <w:p w14:paraId="64F18C0C">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Age</w:t>
      </w:r>
      <w:r>
        <w:rPr>
          <w:rFonts w:ascii="Arial" w:hAnsi="Arial" w:eastAsia="Arial" w:cs="Arial"/>
          <w:color w:val="auto"/>
        </w:rPr>
      </w:r>
    </w:p>
    <w:p w14:paraId="4AF67C1D">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Income </w:t>
      </w:r>
      <w:r>
        <w:rPr>
          <w:rFonts w:ascii="Arial" w:hAnsi="Arial" w:eastAsia="Arial" w:cs="Arial"/>
          <w:color w:val="auto"/>
        </w:rPr>
      </w:r>
    </w:p>
    <w:p w14:paraId="18E3BEE5">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Credit_Score</w:t>
      </w:r>
      <w:r>
        <w:rPr>
          <w:rFonts w:ascii="Arial" w:hAnsi="Arial" w:eastAsia="Arial" w:cs="Arial"/>
          <w:color w:val="auto"/>
        </w:rPr>
      </w:r>
    </w:p>
    <w:p w14:paraId="234B04E2">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Credit_Utilization</w:t>
      </w:r>
      <w:r>
        <w:rPr>
          <w:rFonts w:ascii="Arial" w:hAnsi="Arial" w:eastAsia="Arial" w:cs="Arial"/>
          <w:color w:val="auto"/>
        </w:rPr>
      </w:r>
    </w:p>
    <w:p w14:paraId="506CA0D7">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Missed_Payments</w:t>
      </w:r>
      <w:r>
        <w:rPr>
          <w:rFonts w:ascii="Arial" w:hAnsi="Arial" w:eastAsia="Arial" w:cs="Arial"/>
          <w:color w:val="auto"/>
        </w:rPr>
      </w:r>
    </w:p>
    <w:p w14:paraId="764D8D0A">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Delinquent_Account</w:t>
      </w:r>
      <w:r>
        <w:rPr>
          <w:rFonts w:ascii="Arial" w:hAnsi="Arial" w:eastAsia="Arial" w:cs="Arial"/>
          <w:color w:val="auto"/>
        </w:rPr>
      </w:r>
    </w:p>
    <w:p w14:paraId="5AE464F9">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Loan_Balance</w:t>
      </w:r>
      <w:r>
        <w:rPr>
          <w:rFonts w:ascii="Arial" w:hAnsi="Arial" w:eastAsia="Arial" w:cs="Arial"/>
          <w:color w:val="auto"/>
        </w:rPr>
      </w:r>
    </w:p>
    <w:p w14:paraId="50429DF9">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Debt_to_Income_Ratio</w:t>
      </w:r>
      <w:r>
        <w:rPr>
          <w:rFonts w:ascii="Arial" w:hAnsi="Arial" w:eastAsia="Arial" w:cs="Arial"/>
          <w:color w:val="auto"/>
        </w:rPr>
      </w:r>
    </w:p>
    <w:p w14:paraId="30740E75">
      <w:pPr>
        <w:pStyle w:val="713"/>
        <w:numPr>
          <w:ilvl w:val="0"/>
          <w:numId w:val="10"/>
        </w:numPr>
        <w:pBdr/>
        <w:spacing/>
        <w:ind/>
        <w:rPr>
          <w:rFonts w:ascii="Arial" w:hAnsi="Arial" w:eastAsia="Arial" w:cs="Arial"/>
          <w:color w:val="auto"/>
        </w:rPr>
      </w:pPr>
      <w:r>
        <w:rPr>
          <w:rFonts w:ascii="Arial" w:hAnsi="Arial" w:eastAsia="Arial" w:cs="Arial"/>
          <w:color w:val="auto"/>
          <w:highlight w:val="none"/>
        </w:rPr>
        <w:t xml:space="preserve">Account_Tenure</w:t>
      </w:r>
      <w:r>
        <w:rPr>
          <w:rFonts w:ascii="Arial" w:hAnsi="Arial" w:eastAsia="Arial" w:cs="Arial"/>
          <w:color w:val="auto"/>
          <w:highlight w:val="none"/>
        </w:rPr>
      </w:r>
      <w:r>
        <w:rPr>
          <w:rFonts w:ascii="Arial" w:hAnsi="Arial" w:eastAsia="Arial" w:cs="Arial"/>
          <w:color w:val="auto"/>
          <w:highlight w:val="none"/>
        </w:rPr>
      </w:r>
    </w:p>
    <w:p w14:paraId="1713A2A9" w14:textId="77777777">
      <w:pPr>
        <w:pBdr/>
        <w:spacing/>
        <w:ind/>
        <w:rPr>
          <w:rFonts w:ascii="Arial" w:hAnsi="Arial" w:eastAsia="Arial" w:cs="Arial"/>
          <w:color w:val="auto"/>
        </w:rPr>
      </w:pPr>
      <w:r>
        <w:rPr>
          <w:rFonts w:ascii="Arial" w:hAnsi="Arial" w:eastAsia="Arial" w:cs="Arial"/>
          <w:color w:val="auto"/>
        </w:rPr>
        <w:t xml:space="preserve">- Data types: The dataset primarily contains numerical variables representing customers financial behavior and account characteristics. </w:t>
      </w:r>
      <w:r>
        <w:rPr>
          <w:rFonts w:ascii="Arial" w:hAnsi="Arial" w:eastAsia="Arial" w:cs="Arial"/>
          <w:color w:val="auto"/>
        </w:rPr>
      </w:r>
    </w:p>
    <w:p w14:paraId="143254E8">
      <w:pPr>
        <w:pStyle w:val="693"/>
        <w:pBdr/>
        <w:spacing/>
        <w:ind/>
        <w:rPr>
          <w:rFonts w:ascii="Arial" w:hAnsi="Arial" w:eastAsia="Arial" w:cs="Arial"/>
          <w:color w:val="auto"/>
        </w:rPr>
      </w:pPr>
      <w:r>
        <w:rPr>
          <w:rFonts w:ascii="Arial" w:hAnsi="Arial" w:eastAsia="Arial" w:cs="Arial"/>
          <w:color w:val="auto"/>
          <w:highlight w:val="none"/>
        </w:rPr>
      </w:r>
      <w:r>
        <w:rPr>
          <w:rFonts w:ascii="Arial" w:hAnsi="Arial" w:eastAsia="Arial" w:cs="Arial"/>
          <w:color w:val="auto"/>
          <w:highlight w:val="none"/>
        </w:rPr>
      </w:r>
      <w:r>
        <w:rPr>
          <w:rFonts w:ascii="Arial" w:hAnsi="Arial" w:eastAsia="Arial" w:cs="Arial"/>
          <w:color w:val="auto"/>
          <w:highlight w:val="none"/>
        </w:rPr>
      </w:r>
    </w:p>
    <w:p w14:paraId="5A7A0835" w14:textId="77777777">
      <w:pPr>
        <w:pStyle w:val="693"/>
        <w:pBdr/>
        <w:spacing/>
        <w:ind/>
        <w:rPr>
          <w:rFonts w:ascii="Arial" w:hAnsi="Arial" w:eastAsia="Arial" w:cs="Arial"/>
          <w:color w:val="auto"/>
          <w:highlight w:val="none"/>
        </w:rPr>
      </w:pPr>
      <w:r>
        <w:rPr>
          <w:rFonts w:ascii="Arial" w:hAnsi="Arial" w:eastAsia="Arial" w:cs="Arial"/>
          <w:color w:val="auto"/>
        </w:rPr>
        <w:t xml:space="preserve">3. Missing Data Analysis</w:t>
      </w:r>
      <w:r>
        <w:rPr>
          <w:rFonts w:ascii="Arial" w:hAnsi="Arial" w:eastAsia="Arial" w:cs="Arial"/>
          <w:color w:val="auto"/>
        </w:rPr>
      </w:r>
    </w:p>
    <w:p w14:paraId="2657B9B7" w14:textId="77777777">
      <w:pPr>
        <w:pBdr/>
        <w:spacing/>
        <w:ind/>
        <w:rPr>
          <w:rFonts w:ascii="Arial" w:hAnsi="Arial" w:eastAsia="Arial" w:cs="Arial"/>
          <w:color w:val="auto"/>
        </w:rPr>
      </w:pPr>
      <w:r>
        <w:rPr>
          <w:rFonts w:ascii="Arial" w:hAnsi="Arial" w:eastAsia="Arial" w:cs="Arial"/>
          <w:color w:val="auto"/>
        </w:rPr>
        <w:t xml:space="preserve">Identifying and handling missing data is important to ensure model reliability and reduce analytical bias. </w:t>
      </w:r>
      <w:r>
        <w:rPr>
          <w:rFonts w:ascii="Arial" w:hAnsi="Arial" w:eastAsia="Arial" w:cs="Arial"/>
          <w:color w:val="auto"/>
        </w:rPr>
      </w:r>
    </w:p>
    <w:p w14:paraId="2E9C6CD3" w14:textId="77777777">
      <w:pPr>
        <w:pBdr/>
        <w:spacing/>
        <w:ind/>
        <w:rPr>
          <w:rFonts w:ascii="Arial" w:hAnsi="Arial" w:eastAsia="Arial" w:cs="Arial"/>
          <w:color w:val="auto"/>
        </w:rPr>
      </w:pPr>
      <w:r>
        <w:rPr>
          <w:rFonts w:ascii="Arial" w:hAnsi="Arial" w:eastAsia="Arial" w:cs="Arial"/>
          <w:color w:val="auto"/>
        </w:rPr>
        <w:t xml:space="preserve">Key missing data findings:</w:t>
      </w:r>
      <w:r>
        <w:rPr>
          <w:rFonts w:ascii="Arial" w:hAnsi="Arial" w:eastAsia="Arial" w:cs="Arial"/>
          <w:color w:val="auto"/>
        </w:rPr>
      </w:r>
    </w:p>
    <w:p w14:paraId="635E618E">
      <w:pPr>
        <w:pStyle w:val="713"/>
        <w:numPr>
          <w:ilvl w:val="0"/>
          <w:numId w:val="11"/>
        </w:numPr>
        <w:pBdr>
          <w:top w:val="none" w:color="000000" w:sz="4" w:space="0"/>
          <w:left w:val="none" w:color="000000" w:sz="4" w:space="0"/>
          <w:bottom w:val="none" w:color="000000" w:sz="4" w:space="0"/>
          <w:right w:val="none" w:color="000000" w:sz="4" w:space="0"/>
        </w:pBdr>
        <w:spacing/>
        <w:ind w:right="0"/>
        <w:rPr/>
      </w:pPr>
      <w:r>
        <w:t xml:space="preserve">Missing or incomplete entries may exist in variables such as Income, Credit_Utilization, and Loan_Balance.</w:t>
      </w:r>
      <w:r/>
    </w:p>
    <w:p w14:paraId="1DFF23BE">
      <w:pPr>
        <w:pStyle w:val="713"/>
        <w:numPr>
          <w:ilvl w:val="0"/>
          <w:numId w:val="11"/>
        </w:numPr>
        <w:pBdr>
          <w:top w:val="none" w:color="000000" w:sz="4" w:space="0"/>
          <w:left w:val="none" w:color="000000" w:sz="4" w:space="0"/>
          <w:bottom w:val="none" w:color="000000" w:sz="4" w:space="0"/>
          <w:right w:val="none" w:color="000000" w:sz="4" w:space="0"/>
        </w:pBdr>
        <w:spacing/>
        <w:ind w:right="0"/>
        <w:rPr/>
      </w:pPr>
      <w:r>
        <w:t xml:space="preserve">Some numerical variables may contain outliers or inconsistent values that require additional validation.</w:t>
      </w:r>
      <w:r>
        <w:rPr>
          <w:rFonts w:ascii="Times New Roman" w:hAnsi="Times New Roman" w:eastAsia="Times New Roman" w:cs="Times New Roman"/>
          <w:sz w:val="24"/>
        </w:rP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46"/>
        <w:gridCol w:w="2460"/>
        <w:gridCol w:w="4881"/>
      </w:tblGrid>
      <w:tr>
        <w:trPr/>
        <w:tc>
          <w:tcPr>
            <w:tcBorders/>
            <w:tcMar>
              <w:left w:w="15" w:type="dxa"/>
              <w:top w:w="15" w:type="dxa"/>
              <w:right w:w="15" w:type="dxa"/>
              <w:bottom w:w="15" w:type="dxa"/>
            </w:tcMar>
            <w:tcW w:w="1746" w:type="dxa"/>
            <w:vAlign w:val="center"/>
          </w:tcPr>
          <w:p w14:paraId="00538E2B">
            <w:pPr>
              <w:pBdr/>
              <w:spacing w:after="0" w:before="0" w:line="240"/>
              <w:ind/>
              <w:jc w:val="center"/>
              <w:rPr/>
            </w:pPr>
            <w:r>
              <w:rPr>
                <w:rFonts w:ascii="Times New Roman" w:hAnsi="Times New Roman" w:eastAsia="Times New Roman" w:cs="Times New Roman"/>
                <w:b/>
                <w:color w:val="000000"/>
                <w:sz w:val="24"/>
              </w:rPr>
              <w:t xml:space="preserve">Variable</w:t>
            </w:r>
            <w:r/>
          </w:p>
        </w:tc>
        <w:tc>
          <w:tcPr>
            <w:tcBorders/>
            <w:tcMar>
              <w:left w:w="15" w:type="dxa"/>
              <w:top w:w="15" w:type="dxa"/>
              <w:right w:w="15" w:type="dxa"/>
              <w:bottom w:w="15" w:type="dxa"/>
            </w:tcMar>
            <w:tcW w:w="2460" w:type="dxa"/>
            <w:vAlign w:val="center"/>
          </w:tcPr>
          <w:p w14:paraId="404AB893">
            <w:pPr>
              <w:pBdr/>
              <w:spacing w:after="0" w:before="0" w:line="240"/>
              <w:ind/>
              <w:jc w:val="center"/>
              <w:rPr/>
            </w:pPr>
            <w:r>
              <w:rPr>
                <w:rFonts w:ascii="Times New Roman" w:hAnsi="Times New Roman" w:eastAsia="Times New Roman" w:cs="Times New Roman"/>
                <w:b/>
                <w:color w:val="000000"/>
                <w:sz w:val="24"/>
              </w:rPr>
              <w:t xml:space="preserve">Treatment Method</w:t>
            </w:r>
            <w:r/>
          </w:p>
        </w:tc>
        <w:tc>
          <w:tcPr>
            <w:tcBorders/>
            <w:tcMar>
              <w:left w:w="15" w:type="dxa"/>
              <w:top w:w="15" w:type="dxa"/>
              <w:right w:w="15" w:type="dxa"/>
              <w:bottom w:w="15" w:type="dxa"/>
            </w:tcMar>
            <w:tcW w:w="4881" w:type="dxa"/>
            <w:vAlign w:val="center"/>
          </w:tcPr>
          <w:p w14:paraId="378B3B28">
            <w:pPr>
              <w:pBdr/>
              <w:spacing w:after="0" w:before="0" w:line="240"/>
              <w:ind/>
              <w:jc w:val="center"/>
              <w:rPr/>
            </w:pPr>
            <w:r>
              <w:rPr>
                <w:rFonts w:ascii="Times New Roman" w:hAnsi="Times New Roman" w:eastAsia="Times New Roman" w:cs="Times New Roman"/>
                <w:b/>
                <w:color w:val="000000"/>
                <w:sz w:val="24"/>
              </w:rPr>
              <w:t xml:space="preserve">Justification</w:t>
            </w:r>
            <w:r/>
          </w:p>
        </w:tc>
      </w:tr>
      <w:tr>
        <w:trPr/>
        <w:tc>
          <w:tcPr>
            <w:tcBorders/>
            <w:tcMar>
              <w:left w:w="15" w:type="dxa"/>
              <w:top w:w="15" w:type="dxa"/>
              <w:right w:w="15" w:type="dxa"/>
              <w:bottom w:w="15" w:type="dxa"/>
            </w:tcMar>
            <w:tcW w:w="1746" w:type="dxa"/>
            <w:vAlign w:val="center"/>
          </w:tcPr>
          <w:p w14:paraId="35E74A56">
            <w:pPr>
              <w:pBdr/>
              <w:spacing w:after="0" w:before="0" w:line="240"/>
              <w:ind/>
              <w:rPr/>
            </w:pPr>
            <w:r>
              <w:rPr>
                <w:rFonts w:ascii="Times New Roman" w:hAnsi="Times New Roman" w:eastAsia="Times New Roman" w:cs="Times New Roman"/>
                <w:color w:val="000000"/>
                <w:sz w:val="24"/>
              </w:rPr>
              <w:t xml:space="preserve">Income</w:t>
            </w:r>
            <w:r/>
          </w:p>
        </w:tc>
        <w:tc>
          <w:tcPr>
            <w:tcBorders/>
            <w:tcMar>
              <w:left w:w="15" w:type="dxa"/>
              <w:top w:w="15" w:type="dxa"/>
              <w:right w:w="15" w:type="dxa"/>
              <w:bottom w:w="15" w:type="dxa"/>
            </w:tcMar>
            <w:tcW w:w="2460" w:type="dxa"/>
            <w:vAlign w:val="center"/>
          </w:tcPr>
          <w:p w14:paraId="5F3D0E27">
            <w:pPr>
              <w:pBdr/>
              <w:spacing w:after="0" w:before="0" w:line="240"/>
              <w:ind/>
              <w:rPr/>
            </w:pPr>
            <w:r>
              <w:rPr>
                <w:rFonts w:ascii="Times New Roman" w:hAnsi="Times New Roman" w:eastAsia="Times New Roman" w:cs="Times New Roman"/>
                <w:color w:val="000000"/>
                <w:sz w:val="24"/>
              </w:rPr>
              <w:t xml:space="preserve">Median Imputation</w:t>
            </w:r>
            <w:r/>
          </w:p>
        </w:tc>
        <w:tc>
          <w:tcPr>
            <w:tcBorders/>
            <w:tcMar>
              <w:left w:w="15" w:type="dxa"/>
              <w:top w:w="15" w:type="dxa"/>
              <w:right w:w="15" w:type="dxa"/>
              <w:bottom w:w="15" w:type="dxa"/>
            </w:tcMar>
            <w:tcW w:w="4881" w:type="dxa"/>
            <w:vAlign w:val="center"/>
          </w:tcPr>
          <w:p w14:paraId="3152B75A">
            <w:pPr>
              <w:pBdr/>
              <w:spacing w:after="0" w:before="0" w:line="240"/>
              <w:ind/>
              <w:rPr/>
            </w:pPr>
            <w:r>
              <w:rPr>
                <w:rFonts w:ascii="Times New Roman" w:hAnsi="Times New Roman" w:eastAsia="Times New Roman" w:cs="Times New Roman"/>
                <w:color w:val="000000"/>
                <w:sz w:val="24"/>
              </w:rPr>
              <w:t xml:space="preserve">Median is less affected by extreme income outliers</w:t>
            </w:r>
            <w:r/>
          </w:p>
        </w:tc>
      </w:tr>
      <w:tr>
        <w:trPr/>
        <w:tc>
          <w:tcPr>
            <w:tcBorders/>
            <w:tcMar>
              <w:left w:w="15" w:type="dxa"/>
              <w:top w:w="15" w:type="dxa"/>
              <w:right w:w="15" w:type="dxa"/>
              <w:bottom w:w="15" w:type="dxa"/>
            </w:tcMar>
            <w:tcW w:w="1746" w:type="dxa"/>
            <w:vAlign w:val="center"/>
          </w:tcPr>
          <w:p w14:paraId="413D6B7C">
            <w:pPr>
              <w:pBdr/>
              <w:spacing w:after="0" w:before="0" w:line="240"/>
              <w:ind/>
              <w:rPr/>
            </w:pPr>
            <w:r>
              <w:rPr>
                <w:rFonts w:ascii="Times New Roman" w:hAnsi="Times New Roman" w:eastAsia="Times New Roman" w:cs="Times New Roman"/>
                <w:color w:val="000000"/>
                <w:sz w:val="24"/>
              </w:rPr>
              <w:t xml:space="preserve">Credit_Utilization</w:t>
            </w:r>
            <w:r/>
          </w:p>
        </w:tc>
        <w:tc>
          <w:tcPr>
            <w:tcBorders/>
            <w:tcMar>
              <w:left w:w="15" w:type="dxa"/>
              <w:top w:w="15" w:type="dxa"/>
              <w:right w:w="15" w:type="dxa"/>
              <w:bottom w:w="15" w:type="dxa"/>
            </w:tcMar>
            <w:tcW w:w="2460" w:type="dxa"/>
            <w:vAlign w:val="center"/>
          </w:tcPr>
          <w:p w14:paraId="360D6B40">
            <w:pPr>
              <w:pBdr/>
              <w:spacing w:after="0" w:before="0" w:line="240"/>
              <w:ind/>
              <w:rPr/>
            </w:pPr>
            <w:r>
              <w:rPr>
                <w:rFonts w:ascii="Times New Roman" w:hAnsi="Times New Roman" w:eastAsia="Times New Roman" w:cs="Times New Roman"/>
                <w:color w:val="000000"/>
                <w:sz w:val="24"/>
              </w:rPr>
              <w:t xml:space="preserve">Mean/Median Imputation</w:t>
            </w:r>
            <w:r/>
          </w:p>
        </w:tc>
        <w:tc>
          <w:tcPr>
            <w:tcBorders/>
            <w:tcMar>
              <w:left w:w="15" w:type="dxa"/>
              <w:top w:w="15" w:type="dxa"/>
              <w:right w:w="15" w:type="dxa"/>
              <w:bottom w:w="15" w:type="dxa"/>
            </w:tcMar>
            <w:tcW w:w="4881" w:type="dxa"/>
            <w:vAlign w:val="center"/>
          </w:tcPr>
          <w:p w14:paraId="6BDD064A">
            <w:pPr>
              <w:pBdr/>
              <w:spacing w:after="0" w:before="0" w:line="240"/>
              <w:ind/>
              <w:rPr/>
            </w:pPr>
            <w:r>
              <w:rPr>
                <w:rFonts w:ascii="Times New Roman" w:hAnsi="Times New Roman" w:eastAsia="Times New Roman" w:cs="Times New Roman"/>
                <w:color w:val="000000"/>
                <w:sz w:val="24"/>
              </w:rPr>
              <w:t xml:space="preserve">Preserves overall financial utilization distribution</w:t>
            </w:r>
            <w:r/>
          </w:p>
        </w:tc>
      </w:tr>
      <w:tr>
        <w:trPr/>
        <w:tc>
          <w:tcPr>
            <w:tcBorders/>
            <w:tcMar>
              <w:left w:w="15" w:type="dxa"/>
              <w:top w:w="15" w:type="dxa"/>
              <w:right w:w="15" w:type="dxa"/>
              <w:bottom w:w="15" w:type="dxa"/>
            </w:tcMar>
            <w:tcW w:w="1746" w:type="dxa"/>
            <w:vAlign w:val="center"/>
          </w:tcPr>
          <w:p w14:paraId="2C8A3662">
            <w:pPr>
              <w:pBdr/>
              <w:spacing w:after="0" w:before="0" w:line="240"/>
              <w:ind/>
              <w:rPr/>
            </w:pPr>
            <w:r>
              <w:rPr>
                <w:rFonts w:ascii="Times New Roman" w:hAnsi="Times New Roman" w:eastAsia="Times New Roman" w:cs="Times New Roman"/>
                <w:color w:val="000000"/>
                <w:sz w:val="24"/>
              </w:rPr>
              <w:t xml:space="preserve">Loan_Balance</w:t>
            </w:r>
            <w:r/>
          </w:p>
        </w:tc>
        <w:tc>
          <w:tcPr>
            <w:tcBorders/>
            <w:tcMar>
              <w:left w:w="15" w:type="dxa"/>
              <w:top w:w="15" w:type="dxa"/>
              <w:right w:w="15" w:type="dxa"/>
              <w:bottom w:w="15" w:type="dxa"/>
            </w:tcMar>
            <w:tcW w:w="2460" w:type="dxa"/>
            <w:vAlign w:val="center"/>
          </w:tcPr>
          <w:p w14:paraId="1C462FC2">
            <w:pPr>
              <w:pBdr/>
              <w:spacing w:after="0" w:before="0" w:line="240"/>
              <w:ind/>
              <w:rPr/>
            </w:pPr>
            <w:r>
              <w:rPr>
                <w:rFonts w:ascii="Times New Roman" w:hAnsi="Times New Roman" w:eastAsia="Times New Roman" w:cs="Times New Roman"/>
                <w:color w:val="000000"/>
                <w:sz w:val="24"/>
              </w:rPr>
              <w:t xml:space="preserve">Removal or Imputation</w:t>
            </w:r>
            <w:r/>
          </w:p>
        </w:tc>
        <w:tc>
          <w:tcPr>
            <w:tcBorders/>
            <w:tcMar>
              <w:left w:w="15" w:type="dxa"/>
              <w:top w:w="15" w:type="dxa"/>
              <w:right w:w="15" w:type="dxa"/>
              <w:bottom w:w="15" w:type="dxa"/>
            </w:tcMar>
            <w:tcW w:w="4881" w:type="dxa"/>
            <w:vAlign w:val="center"/>
          </w:tcPr>
          <w:p w14:paraId="4A18334B">
            <w:pPr>
              <w:pBdr/>
              <w:spacing w:after="0" w:before="0" w:line="240"/>
              <w:ind/>
              <w:rPr/>
            </w:pPr>
            <w:r>
              <w:rPr>
                <w:rFonts w:ascii="Times New Roman" w:hAnsi="Times New Roman" w:eastAsia="Times New Roman" w:cs="Times New Roman"/>
                <w:color w:val="000000"/>
                <w:sz w:val="24"/>
              </w:rPr>
              <w:t xml:space="preserve">Prevents distortion in financial risk calculations</w:t>
            </w:r>
            <w:r/>
          </w:p>
        </w:tc>
      </w:tr>
    </w:tbl>
    <w:p w14:paraId="46C273E5">
      <w:pPr>
        <w:pStyle w:val="695"/>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4"/>
          <w:szCs w:val="24"/>
        </w:rPr>
        <w:t xml:space="preserve">Additional Information:</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sz w:val="24"/>
          <w:szCs w:val="24"/>
        </w:rPr>
      </w:r>
      <w:r/>
      <w:r>
        <w:rPr>
          <w:rFonts w:ascii="Times New Roman" w:hAnsi="Times New Roman" w:eastAsia="Times New Roman" w:cs="Times New Roman"/>
          <w:b w:val="0"/>
          <w:bCs w:val="0"/>
          <w:sz w:val="24"/>
          <w:szCs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b w:val="0"/>
          <w:bCs w:val="0"/>
          <w:sz w:val="24"/>
          <w:szCs w:val="24"/>
        </w:rPr>
      </w:r>
    </w:p>
    <w:p w14:paraId="0C55A769">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records should be removed before predictive modeling.</w:t>
      </w:r>
      <w:r/>
    </w:p>
    <w:p w14:paraId="0F96E8CF">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Outlier detection techniques such as boxplots were used to identify abnormal financial values.</w:t>
      </w:r>
      <w:r/>
    </w:p>
    <w:p w14:paraId="42D602DA" w14:textId="77777777">
      <w:pPr>
        <w:pStyle w:val="693"/>
        <w:pBdr/>
        <w:spacing/>
        <w:ind/>
        <w:rPr>
          <w:rFonts w:ascii="Arial" w:hAnsi="Arial" w:eastAsia="Arial" w:cs="Arial"/>
          <w:color w:val="auto"/>
        </w:rPr>
      </w:pPr>
      <w:r>
        <w:rPr>
          <w:rFonts w:ascii="Arial" w:hAnsi="Arial" w:eastAsia="Arial" w:cs="Arial"/>
          <w:color w:val="auto"/>
        </w:rPr>
        <w:t xml:space="preserve">4. Key Findings and Risk Indicators</w:t>
      </w:r>
      <w:r>
        <w:rPr>
          <w:rFonts w:ascii="Arial" w:hAnsi="Arial" w:eastAsia="Arial" w:cs="Arial"/>
          <w:color w:val="auto"/>
        </w:rPr>
      </w:r>
    </w:p>
    <w:p w14:paraId="1CAEF71F" w14:textId="77777777">
      <w:pPr>
        <w:pBdr/>
        <w:spacing/>
        <w:ind/>
        <w:rPr>
          <w:rFonts w:ascii="Arial" w:hAnsi="Arial" w:eastAsia="Arial" w:cs="Arial"/>
          <w:color w:val="auto"/>
        </w:rPr>
      </w:pPr>
      <w:r>
        <w:rPr>
          <w:rFonts w:ascii="Arial" w:hAnsi="Arial" w:eastAsia="Arial" w:cs="Arial"/>
          <w:color w:val="auto"/>
        </w:rPr>
        <w:t xml:space="preserve">This section identifies trends and patterns that may indicate risk factors for delinquency. Feature relationships and statistical correlations are explored to uncover insights relevant to predictive modeling.</w:t>
      </w:r>
      <w:r>
        <w:rPr>
          <w:rFonts w:ascii="Arial" w:hAnsi="Arial" w:eastAsia="Arial" w:cs="Arial"/>
          <w:color w:val="auto"/>
        </w:rPr>
      </w:r>
    </w:p>
    <w:p w14:paraId="0154A5A7" w14:textId="77777777">
      <w:pPr>
        <w:pBdr/>
        <w:spacing/>
        <w:ind/>
        <w:rPr>
          <w:rFonts w:ascii="Arial" w:hAnsi="Arial" w:eastAsia="Arial" w:cs="Arial"/>
          <w:color w:val="auto"/>
        </w:rPr>
      </w:pPr>
      <w:r>
        <w:rPr>
          <w:rFonts w:ascii="Arial" w:hAnsi="Arial" w:eastAsia="Arial" w:cs="Arial"/>
          <w:color w:val="auto"/>
        </w:rPr>
        <w:t xml:space="preserve">Key findings:</w:t>
      </w:r>
      <w:r>
        <w:rPr>
          <w:rFonts w:ascii="Arial" w:hAnsi="Arial" w:eastAsia="Arial" w:cs="Arial"/>
          <w:color w:val="auto"/>
        </w:rPr>
      </w:r>
    </w:p>
    <w:p w14:paraId="4BBB216A">
      <w:pPr>
        <w:pStyle w:val="713"/>
        <w:numPr>
          <w:ilvl w:val="0"/>
          <w:numId w:val="13"/>
        </w:numPr>
        <w:pBdr>
          <w:top w:val="none" w:color="000000" w:sz="4" w:space="0"/>
          <w:left w:val="none" w:color="000000" w:sz="4" w:space="0"/>
          <w:bottom w:val="none" w:color="000000" w:sz="4" w:space="0"/>
          <w:right w:val="none" w:color="000000" w:sz="4" w:space="0"/>
        </w:pBdr>
        <w:spacing/>
        <w:ind w:right="0"/>
        <w:rPr/>
      </w:pPr>
      <w:r>
        <w:t xml:space="preserve">The correlation matrix revealed mostly weak linear relationships between variables.</w:t>
      </w:r>
      <w:r/>
    </w:p>
    <w:p w14:paraId="195C4632">
      <w:pPr>
        <w:pStyle w:val="713"/>
        <w:numPr>
          <w:ilvl w:val="0"/>
          <w:numId w:val="13"/>
        </w:numPr>
        <w:pBdr>
          <w:top w:val="none" w:color="000000" w:sz="4" w:space="0"/>
          <w:left w:val="none" w:color="000000" w:sz="4" w:space="0"/>
          <w:bottom w:val="none" w:color="000000" w:sz="4" w:space="0"/>
          <w:right w:val="none" w:color="000000" w:sz="4" w:space="0"/>
        </w:pBdr>
        <w:spacing/>
        <w:ind w:right="0"/>
        <w:rPr/>
      </w:pPr>
      <w:r>
        <w:t xml:space="preserve">Credit_Utilization showed slight relationships with Account_Tenure and Debt_to_Income_Ratio.</w:t>
      </w:r>
      <w:r/>
    </w:p>
    <w:p w14:paraId="427CD721">
      <w:pPr>
        <w:pStyle w:val="713"/>
        <w:numPr>
          <w:ilvl w:val="0"/>
          <w:numId w:val="13"/>
        </w:numPr>
        <w:pBdr>
          <w:top w:val="none" w:color="000000" w:sz="4" w:space="0"/>
          <w:left w:val="none" w:color="000000" w:sz="4" w:space="0"/>
          <w:bottom w:val="none" w:color="000000" w:sz="4" w:space="0"/>
          <w:right w:val="none" w:color="000000" w:sz="4" w:space="0"/>
        </w:pBdr>
        <w:spacing/>
        <w:ind w:right="0"/>
        <w:rPr/>
      </w:pPr>
      <w:r>
        <w:t xml:space="preserve">Missed_Payments demonstrated a small negative relationship with Account_Tenure, suggesting customers with shorter account histories may be slightly more vulnerable to payment issues.</w:t>
      </w:r>
      <w:r/>
    </w:p>
    <w:p w14:paraId="0B78DDA0">
      <w:pPr>
        <w:pStyle w:val="713"/>
        <w:numPr>
          <w:ilvl w:val="0"/>
          <w:numId w:val="13"/>
        </w:numPr>
        <w:pBdr>
          <w:top w:val="none" w:color="000000" w:sz="4" w:space="0"/>
          <w:left w:val="none" w:color="000000" w:sz="4" w:space="0"/>
          <w:bottom w:val="none" w:color="000000" w:sz="4" w:space="0"/>
          <w:right w:val="none" w:color="000000" w:sz="4" w:space="0"/>
        </w:pBdr>
        <w:spacing/>
        <w:ind w:right="0"/>
        <w:rPr/>
      </w:pPr>
      <w:r>
        <w:t xml:space="preserve">Loan_Balance and Debt_to_Income_Ratio displayed a slight positive relationship, indicating that customers with larger loans may carry higher debt burdens.</w:t>
      </w:r>
      <w:r/>
      <w:r>
        <w:rPr>
          <w:rFonts w:ascii="Arial" w:hAnsi="Arial" w:eastAsia="Arial" w:cs="Arial"/>
          <w:color w:val="auto"/>
        </w:rPr>
      </w:r>
      <w:r>
        <w:rPr>
          <w:rFonts w:ascii="Arial" w:hAnsi="Arial" w:eastAsia="Arial" w:cs="Arial"/>
          <w:color w:val="auto"/>
        </w:rPr>
      </w:r>
      <w:r>
        <w:rPr>
          <w:rFonts w:ascii="Times New Roman" w:hAnsi="Times New Roman" w:eastAsia="Times New Roman" w:cs="Times New Roman"/>
          <w:sz w:val="24"/>
        </w:rPr>
      </w:r>
    </w:p>
    <w:p w14:paraId="723692B8" w14:textId="77777777">
      <w:pPr>
        <w:pStyle w:val="693"/>
        <w:pBdr/>
        <w:spacing/>
        <w:ind/>
        <w:rPr>
          <w:rFonts w:ascii="Arial" w:hAnsi="Arial" w:eastAsia="Arial" w:cs="Arial"/>
          <w:color w:val="auto"/>
        </w:rPr>
      </w:pPr>
      <w:r>
        <w:rPr>
          <w:rFonts w:ascii="Arial" w:hAnsi="Arial" w:eastAsia="Arial" w:cs="Arial"/>
          <w:color w:val="auto"/>
        </w:rPr>
        <w:t xml:space="preserve">5. AI &amp; GenAI Usage</w:t>
      </w:r>
      <w:r>
        <w:rPr>
          <w:rFonts w:ascii="Arial" w:hAnsi="Arial" w:eastAsia="Arial" w:cs="Arial"/>
          <w:color w:val="auto"/>
        </w:rPr>
      </w:r>
    </w:p>
    <w:p w14:paraId="5E732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Generative AI tools were used to support dataset understanding, identify anomalies, suggest data-cleaning strategies, and summarize analytical findings.</w:t>
      </w:r>
      <w:r/>
    </w:p>
    <w:p w14:paraId="4E76A2F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 AI prompts used:</w:t>
      </w:r>
      <w:r/>
    </w:p>
    <w:p w14:paraId="7E72CEDC">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“Summarize key patterns, outliers, and missing values in this dataset.”</w:t>
      </w:r>
      <w:r/>
    </w:p>
    <w:p w14:paraId="7FB0EA6C">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 variables most likely to predict delinquency risk.”</w:t>
      </w:r>
      <w:r/>
    </w:p>
    <w:p w14:paraId="1F8C54AF">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“Suggest an imputation strategy for missing financial data based on industry best practices.”</w:t>
      </w:r>
      <w:r/>
    </w:p>
    <w:p w14:paraId="4CD52859">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“Analyze correlation patterns between financial variables and delinquency indicators.”</w:t>
      </w:r>
      <w:r/>
    </w:p>
    <w:p w14:paraId="70967F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AI-generated insights were reviewed and validated before inclusion in the report.</w:t>
      </w:r>
      <w:r/>
      <w:r>
        <w:rPr>
          <w:rFonts w:ascii="Arial" w:hAnsi="Arial" w:eastAsia="Arial" w:cs="Arial"/>
          <w:color w:val="auto"/>
        </w:rPr>
      </w:r>
      <w:r>
        <w:rPr>
          <w:rFonts w:ascii="Arial" w:hAnsi="Arial" w:eastAsia="Arial" w:cs="Arial"/>
          <w:color w:val="auto"/>
        </w:rPr>
      </w:r>
      <w:r>
        <w:rPr>
          <w:rFonts w:ascii="Times New Roman" w:hAnsi="Times New Roman" w:eastAsia="Times New Roman" w:cs="Times New Roman"/>
          <w:sz w:val="24"/>
        </w:rPr>
      </w:r>
    </w:p>
    <w:p w14:paraId="1065B625" w14:textId="77777777">
      <w:pPr>
        <w:pStyle w:val="693"/>
        <w:pBdr/>
        <w:spacing/>
        <w:ind/>
        <w:rPr>
          <w:rFonts w:ascii="Arial" w:hAnsi="Arial" w:eastAsia="Arial" w:cs="Arial"/>
          <w:color w:val="auto"/>
        </w:rPr>
      </w:pPr>
      <w:r>
        <w:rPr>
          <w:rFonts w:ascii="Arial" w:hAnsi="Arial" w:eastAsia="Arial" w:cs="Arial"/>
          <w:color w:val="auto"/>
        </w:rPr>
        <w:t xml:space="preserve">6. Conclusion &amp; Next Steps</w:t>
      </w:r>
      <w:r>
        <w:rPr>
          <w:rFonts w:ascii="Arial" w:hAnsi="Arial" w:eastAsia="Arial" w:cs="Arial"/>
          <w:color w:val="auto"/>
        </w:rPr>
      </w:r>
    </w:p>
    <w:p w14:paraId="4ABA6E5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auto"/>
        </w:rPr>
      </w:r>
      <w:r>
        <w:t xml:space="preserve">The exploratory analysis identified several important financial and behavioral indicators associated with delinquency risk, including credit utilization, missed payments, debt-to-income ratio, and account tenure. Although most variables showed weak direct </w:t>
      </w:r>
      <w:r>
        <w:t xml:space="preserve">correlations, the dataset still provides valuable insights for predictive modeling and customer risk segmentation.</w:t>
      </w:r>
      <w:r/>
    </w:p>
    <w:p w14:paraId="2B22D12A">
      <w:pPr>
        <w:pBdr>
          <w:top w:val="none" w:color="000000" w:sz="4" w:space="0"/>
          <w:left w:val="none" w:color="000000" w:sz="4" w:space="0"/>
          <w:bottom w:val="none" w:color="000000" w:sz="4" w:space="0"/>
          <w:right w:val="none" w:color="000000" w:sz="4" w:space="0"/>
        </w:pBdr>
        <w:spacing/>
        <w:ind w:right="0" w:firstLine="0" w:left="0"/>
        <w:rPr/>
      </w:pPr>
      <w:r>
        <w:t xml:space="preserve">Before developing predictive models, additional preprocessing steps should be completed, including advanced missing value treatment, outlier handling, and feature engineering. Future analysis may also include machine learning techniques to improve delinque</w:t>
      </w:r>
      <w:r>
        <w:t xml:space="preserve">ncy prediction accuracy and support proactive customer intervention strategies.</w:t>
      </w:r>
      <w:r/>
    </w:p>
    <w:p w14:paraId="1845AEF3">
      <w:pPr>
        <w:pStyle w:val="688"/>
        <w:suppressLineNumbers w:val="false"/>
        <w:pBdr/>
        <w:bidi w:val="false"/>
        <w:spacing w:after="200" w:afterAutospacing="0" w:before="0" w:beforeAutospacing="0" w:line="276" w:lineRule="auto"/>
        <w:ind w:right="0" w:left="0"/>
        <w:jc w:val="left"/>
        <w:rPr>
          <w:rFonts w:ascii="Arial" w:hAnsi="Arial" w:eastAsia="Arial" w:cs="Arial"/>
          <w:color w:val="auto"/>
        </w:rPr>
      </w:pPr>
      <w:r>
        <w:rPr>
          <w:rFonts w:ascii="Arial" w:hAnsi="Arial" w:eastAsia="Arial" w:cs="Arial"/>
          <w:color w:val="auto"/>
        </w:rPr>
      </w:r>
      <w:r>
        <w:rPr>
          <w:rFonts w:ascii="Arial" w:hAnsi="Arial" w:eastAsia="Arial" w:cs="Arial"/>
          <w:color w:val="auto"/>
        </w:rPr>
      </w:r>
      <w:r/>
    </w:p>
    <w:p w14:paraId="4D5E0059" w14:textId="0C7C660A">
      <w:pPr>
        <w:pStyle w:val="688"/>
        <w:suppressLineNumbers w:val="false"/>
        <w:pBdr/>
        <w:bidi w:val="false"/>
        <w:spacing w:after="200" w:afterAutospacing="0" w:before="0" w:beforeAutospacing="0" w:line="276" w:lineRule="auto"/>
        <w:ind w:right="0" w:left="0"/>
        <w:jc w:val="left"/>
        <w:rPr>
          <w:rFonts w:ascii="Arial" w:hAnsi="Arial" w:eastAsia="Arial" w:cs="Arial"/>
          <w:color w:val="auto"/>
        </w:rPr>
      </w:pPr>
      <w:r>
        <w:rPr>
          <w:rFonts w:ascii="Arial" w:hAnsi="Arial" w:eastAsia="Arial" w:cs="Arial"/>
          <w:color w:val="auto"/>
        </w:rPr>
      </w:r>
      <w:r>
        <w:rPr>
          <w:rFonts w:ascii="Arial" w:hAnsi="Arial" w:eastAsia="Arial" w:cs="Arial"/>
          <w:color w:val="auto"/>
        </w:rPr>
      </w:r>
    </w:p>
    <w:p w14:paraId="473B3221" w14:textId="2B43D768">
      <w:pPr>
        <w:pStyle w:val="688"/>
        <w:suppressLineNumbers w:val="false"/>
        <w:pBdr/>
        <w:bidi w:val="false"/>
        <w:spacing w:after="200" w:afterAutospacing="0" w:before="0" w:beforeAutospacing="0" w:line="276" w:lineRule="auto"/>
        <w:ind w:right="0" w:left="0"/>
        <w:jc w:val="left"/>
        <w:rPr>
          <w:rFonts w:ascii="Arial" w:hAnsi="Arial" w:eastAsia="Arial" w:cs="Arial"/>
          <w:color w:val="auto"/>
        </w:rPr>
      </w:pPr>
      <w:r>
        <w:rPr>
          <w:rFonts w:ascii="Arial" w:hAnsi="Arial" w:eastAsia="Arial" w:cs="Arial"/>
          <w:color w:val="auto"/>
        </w:rPr>
      </w:r>
      <w:r>
        <w:rPr>
          <w:rFonts w:ascii="Arial" w:hAnsi="Arial" w:eastAsia="Arial" w:cs="Arial"/>
          <w:color w:val="auto"/>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208349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182EE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419EE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BDAA494"/>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7DFE1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2026-05-13T06:16:59Z</dcterms:modified>
</cp:coreProperties>
</file>