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24"/>
        </w:rPr>
        <w:t>FIRST FORTNIGHTLY REPORT</w:t>
      </w:r>
    </w:p>
    <w:p/>
    <w:p>
      <w:pPr>
        <w:jc w:val="center"/>
      </w:pPr>
      <w:r>
        <w:rPr>
          <w:rFonts w:ascii="Times New Roman" w:hAnsi="Times New Roman"/>
          <w:b w:val="0"/>
          <w:i w:val="0"/>
          <w:sz w:val="24"/>
        </w:rPr>
        <w:t>A Business Research Report on</w:t>
      </w:r>
    </w:p>
    <w:p/>
    <w:p>
      <w:pPr>
        <w:jc w:val="center"/>
      </w:pPr>
      <w:r>
        <w:rPr>
          <w:rFonts w:ascii="Times New Roman" w:hAnsi="Times New Roman"/>
          <w:b/>
          <w:i w:val="0"/>
          <w:sz w:val="24"/>
        </w:rPr>
        <w:t>"An Analytical Study of Investment Planning, Portfolio Construction, and Stock Valuation Techniques at Fundsweb Company"</w:t>
      </w:r>
    </w:p>
    <w:p/>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Harsh Rathod</w:t>
            </w:r>
          </w:p>
        </w:tc>
      </w:tr>
      <w:tr>
        <w:tc>
          <w:tcPr>
            <w:tcW w:type="dxa" w:w="4320"/>
          </w:tcPr>
          <w:p>
            <w:r>
              <w:t>Roll No.:</w:t>
            </w:r>
          </w:p>
        </w:tc>
        <w:tc>
          <w:tcPr>
            <w:tcW w:type="dxa" w:w="4320"/>
          </w:tcPr>
          <w:p>
            <w:r>
              <w:t>[Your Roll No.]</w:t>
            </w:r>
          </w:p>
        </w:tc>
      </w:tr>
      <w:tr>
        <w:tc>
          <w:tcPr>
            <w:tcW w:type="dxa" w:w="4320"/>
          </w:tcPr>
          <w:p>
            <w:r>
              <w:t>Batch:</w:t>
            </w:r>
          </w:p>
        </w:tc>
        <w:tc>
          <w:tcPr>
            <w:tcW w:type="dxa" w:w="4320"/>
          </w:tcPr>
          <w:p>
            <w:r>
              <w:t>2025-27</w:t>
            </w:r>
          </w:p>
        </w:tc>
      </w:tr>
      <w:tr>
        <w:tc>
          <w:tcPr>
            <w:tcW w:type="dxa" w:w="4320"/>
          </w:tcPr>
          <w:p>
            <w:r>
              <w:t>Domain:</w:t>
            </w:r>
          </w:p>
        </w:tc>
        <w:tc>
          <w:tcPr>
            <w:tcW w:type="dxa" w:w="4320"/>
          </w:tcPr>
          <w:p>
            <w:r>
              <w:t>Finance</w:t>
            </w:r>
          </w:p>
        </w:tc>
      </w:tr>
      <w:tr>
        <w:tc>
          <w:tcPr>
            <w:tcW w:type="dxa" w:w="4320"/>
          </w:tcPr>
          <w:p>
            <w:r>
              <w:t>Organization:</w:t>
            </w:r>
          </w:p>
        </w:tc>
        <w:tc>
          <w:tcPr>
            <w:tcW w:type="dxa" w:w="4320"/>
          </w:tcPr>
          <w:p>
            <w:r>
              <w:t>Fundsweb Company</w:t>
            </w:r>
          </w:p>
        </w:tc>
      </w:tr>
      <w:tr>
        <w:tc>
          <w:tcPr>
            <w:tcW w:type="dxa" w:w="4320"/>
          </w:tcPr>
          <w:p>
            <w:r>
              <w:t>Reporting Manager:</w:t>
            </w:r>
          </w:p>
        </w:tc>
        <w:tc>
          <w:tcPr>
            <w:tcW w:type="dxa" w:w="4320"/>
          </w:tcPr>
          <w:p>
            <w:r>
              <w:t>Abhishek Yadav</w:t>
            </w:r>
          </w:p>
        </w:tc>
      </w:tr>
      <w:tr>
        <w:tc>
          <w:tcPr>
            <w:tcW w:type="dxa" w:w="4320"/>
          </w:tcPr>
          <w:p>
            <w:r>
              <w:t>Faculty Mentor:</w:t>
            </w:r>
          </w:p>
        </w:tc>
        <w:tc>
          <w:tcPr>
            <w:tcW w:type="dxa" w:w="4320"/>
          </w:tcPr>
          <w:p>
            <w:r>
              <w:t>[Your Faculty Mentor]</w:t>
            </w:r>
          </w:p>
        </w:tc>
      </w:tr>
      <w:tr>
        <w:tc>
          <w:tcPr>
            <w:tcW w:type="dxa" w:w="4320"/>
          </w:tcPr>
          <w:p>
            <w:r>
              <w:t>Date of Submission:</w:t>
            </w:r>
          </w:p>
        </w:tc>
        <w:tc>
          <w:tcPr>
            <w:tcW w:type="dxa" w:w="4320"/>
          </w:tcPr>
          <w:p>
            <w:r>
              <w:t>June 2026</w:t>
            </w:r>
          </w:p>
        </w:tc>
      </w:tr>
    </w:tbl>
    <w:p>
      <w:r>
        <w:br w:type="page"/>
      </w:r>
    </w:p>
    <w:p>
      <w:pPr>
        <w:pStyle w:val="Heading1"/>
      </w:pPr>
      <w:r>
        <w:rPr>
          <w:rFonts w:ascii="Times New Roman" w:hAnsi="Times New Roman"/>
        </w:rPr>
        <w:t>Brief Description of Work Done</w:t>
      </w:r>
    </w:p>
    <w:p>
      <w:pPr>
        <w:pStyle w:val="ListBullet"/>
        <w:ind w:left="720"/>
      </w:pPr>
      <w:r>
        <w:rPr>
          <w:rFonts w:ascii="Times New Roman" w:hAnsi="Times New Roman"/>
          <w:sz w:val="24"/>
        </w:rPr>
        <w:t>Completed the general orientation programme covering organisational structure, compliance frameworks (SEBI guidelines, KYC norms), and essential financial analysis tools at Fundsweb Company.</w:t>
      </w:r>
    </w:p>
    <w:p>
      <w:pPr>
        <w:pStyle w:val="ListBullet"/>
        <w:ind w:left="720"/>
      </w:pPr>
      <w:r>
        <w:rPr>
          <w:rFonts w:ascii="Times New Roman" w:hAnsi="Times New Roman"/>
          <w:sz w:val="24"/>
        </w:rPr>
        <w:t>Developed a professional digital portfolio (digital resume) using the Fundsweb platform and successfully onboarded three clients within the stipulated timeframe.</w:t>
      </w:r>
    </w:p>
    <w:p>
      <w:pPr>
        <w:pStyle w:val="ListBullet"/>
        <w:ind w:left="720"/>
      </w:pPr>
      <w:r>
        <w:rPr>
          <w:rFonts w:ascii="Times New Roman" w:hAnsi="Times New Roman"/>
          <w:sz w:val="24"/>
        </w:rPr>
        <w:t>Acquired practical exposure to strategic investment planning including goal-based asset allocation, macroeconomic indicator analysis, and dynamic portfolio rebalancing strategies.</w:t>
      </w:r>
    </w:p>
    <w:p>
      <w:pPr>
        <w:pStyle w:val="ListBullet"/>
        <w:ind w:left="720"/>
      </w:pPr>
      <w:r>
        <w:rPr>
          <w:rFonts w:ascii="Times New Roman" w:hAnsi="Times New Roman"/>
          <w:sz w:val="24"/>
        </w:rPr>
        <w:t>Conducted comprehensive stock analysis integrating both quantitative metrics (P/E, P/B, ROE, D/E ratios) and qualitative factors (management quality, competitive moats, industry positioning).</w:t>
      </w:r>
    </w:p>
    <w:p>
      <w:pPr>
        <w:pStyle w:val="ListBullet"/>
        <w:ind w:left="720"/>
      </w:pPr>
      <w:r>
        <w:rPr>
          <w:rFonts w:ascii="Times New Roman" w:hAnsi="Times New Roman"/>
          <w:sz w:val="24"/>
        </w:rPr>
        <w:t>Performed in-depth fundamental analysis involving financial statement interpretation, DCF valuation modelling, and comparable company analysis for equity valuation.</w:t>
      </w:r>
    </w:p>
    <w:p>
      <w:pPr>
        <w:pStyle w:val="ListBullet"/>
        <w:ind w:left="720"/>
      </w:pPr>
      <w:r>
        <w:rPr>
          <w:rFonts w:ascii="Times New Roman" w:hAnsi="Times New Roman"/>
          <w:sz w:val="24"/>
        </w:rPr>
        <w:t>Applied technical analysis concepts including candlestick patterns, RSI, MACD, moving averages, Bollinger Bands, and support/resistance level identification for trade timing decisions.</w:t>
      </w:r>
    </w:p>
    <w:p>
      <w:pPr>
        <w:pStyle w:val="ListBullet"/>
        <w:ind w:left="720"/>
      </w:pPr>
      <w:r>
        <w:rPr>
          <w:rFonts w:ascii="Times New Roman" w:hAnsi="Times New Roman"/>
          <w:sz w:val="24"/>
        </w:rPr>
        <w:t>Designed and built functional financial calculators — SIP Calculator, SWP Calculator, and Position Size &amp; Risk Management Calculator — for practical investment planning scenarios.</w:t>
      </w:r>
    </w:p>
    <w:p>
      <w:pPr>
        <w:pStyle w:val="ListBullet"/>
        <w:ind w:left="720"/>
      </w:pPr>
      <w:r>
        <w:rPr>
          <w:rFonts w:ascii="Times New Roman" w:hAnsi="Times New Roman"/>
          <w:sz w:val="24"/>
        </w:rPr>
        <w:t>Synthesised all training modules into a comprehensive business report integrating technical, fundamental, and strategic analysis frameworks with actionable investment recommendations.</w:t>
      </w:r>
    </w:p>
    <w:p>
      <w:r>
        <w:br w:type="page"/>
      </w:r>
    </w:p>
    <w:p>
      <w:pPr>
        <w:pStyle w:val="Heading1"/>
      </w:pPr>
      <w:r>
        <w:rPr>
          <w:rFonts w:ascii="Times New Roman" w:hAnsi="Times New Roman"/>
        </w:rPr>
        <w:t>Project Title</w:t>
      </w:r>
    </w:p>
    <w:p>
      <w:pPr>
        <w:jc w:val="both"/>
      </w:pPr>
      <w:r>
        <w:rPr>
          <w:rFonts w:ascii="Times New Roman" w:hAnsi="Times New Roman"/>
          <w:b/>
          <w:i w:val="0"/>
          <w:sz w:val="24"/>
        </w:rPr>
        <w:t>An Analytical Study of Investment Planning, Portfolio Construction, and Stock Valuation Techniques at Fundsweb Company</w:t>
      </w:r>
    </w:p>
    <w:p>
      <w:r>
        <w:br w:type="page"/>
      </w:r>
    </w:p>
    <w:p>
      <w:pPr>
        <w:pStyle w:val="Heading1"/>
      </w:pPr>
      <w:r>
        <w:rPr>
          <w:rFonts w:ascii="Times New Roman" w:hAnsi="Times New Roman"/>
        </w:rPr>
        <w:t>Objectives of the Study</w:t>
      </w:r>
    </w:p>
    <w:p>
      <w:pPr>
        <w:pStyle w:val="ListBullet"/>
        <w:ind w:left="720"/>
      </w:pPr>
      <w:r>
        <w:rPr>
          <w:rFonts w:ascii="Times New Roman" w:hAnsi="Times New Roman"/>
          <w:sz w:val="24"/>
        </w:rPr>
        <w:t>To evaluate the effectiveness of strategic investment planning frameworks in aligning portfolio construction with investor-specific financial goals and risk profiles.</w:t>
      </w:r>
    </w:p>
    <w:p>
      <w:pPr>
        <w:pStyle w:val="ListBullet"/>
        <w:ind w:left="720"/>
      </w:pPr>
      <w:r>
        <w:rPr>
          <w:rFonts w:ascii="Times New Roman" w:hAnsi="Times New Roman"/>
          <w:sz w:val="24"/>
        </w:rPr>
        <w:t>To analyse the application of fundamental analysis techniques — including financial ratio analysis, DCF modelling, and comparable company valuation — in determining the intrinsic value of equity securities.</w:t>
      </w:r>
    </w:p>
    <w:p>
      <w:pPr>
        <w:pStyle w:val="ListBullet"/>
        <w:ind w:left="720"/>
      </w:pPr>
      <w:r>
        <w:rPr>
          <w:rFonts w:ascii="Times New Roman" w:hAnsi="Times New Roman"/>
          <w:sz w:val="24"/>
        </w:rPr>
        <w:t>To assess the role of technical analysis indicators (RSI, MACD, Moving Averages, Support/Resistance) in optimising entry and exit timing for investment decisions.</w:t>
      </w:r>
    </w:p>
    <w:p>
      <w:pPr>
        <w:pStyle w:val="ListBullet"/>
        <w:ind w:left="720"/>
      </w:pPr>
      <w:r>
        <w:rPr>
          <w:rFonts w:ascii="Times New Roman" w:hAnsi="Times New Roman"/>
          <w:sz w:val="24"/>
        </w:rPr>
        <w:t>To examine the contribution of digital financial tools (SIP calculators, SWP calculators, position-sizing models) in enhancing retail investor decision-making and financial literacy.</w:t>
      </w:r>
    </w:p>
    <w:p>
      <w:pPr>
        <w:pStyle w:val="ListBullet"/>
        <w:ind w:left="720"/>
      </w:pPr>
      <w:r>
        <w:rPr>
          <w:rFonts w:ascii="Times New Roman" w:hAnsi="Times New Roman"/>
          <w:sz w:val="24"/>
        </w:rPr>
        <w:t>To study the process and significance of client onboarding and digital portfolio management in modern investment advisory services.</w:t>
      </w:r>
    </w:p>
    <w:p>
      <w:r>
        <w:br w:type="page"/>
      </w:r>
    </w:p>
    <w:p>
      <w:pPr>
        <w:pStyle w:val="Heading1"/>
      </w:pPr>
      <w:r>
        <w:rPr>
          <w:rFonts w:ascii="Times New Roman" w:hAnsi="Times New Roman"/>
        </w:rPr>
        <w:t>Literature Review</w:t>
      </w:r>
    </w:p>
    <w:p>
      <w:pPr>
        <w:jc w:val="both"/>
      </w:pPr>
      <w:r>
        <w:rPr>
          <w:rFonts w:ascii="Times New Roman" w:hAnsi="Times New Roman"/>
          <w:b w:val="0"/>
          <w:i w:val="0"/>
          <w:sz w:val="24"/>
        </w:rPr>
        <w:t>This section reviews recent academic literature across the thematic areas relevant to the present study, namely digital investment platforms, fundamental and technical analysis, portfolio management, financial planning, and investor behaviour.</w:t>
      </w:r>
    </w:p>
    <w:p/>
    <w:p>
      <w:pPr>
        <w:jc w:val="both"/>
      </w:pPr>
      <w:r>
        <w:rPr>
          <w:rFonts w:ascii="Times New Roman" w:hAnsi="Times New Roman"/>
          <w:b/>
          <w:i w:val="0"/>
          <w:sz w:val="24"/>
        </w:rPr>
        <w:t>1. Digital Investment Platforms and Retail Investor Participation</w:t>
      </w:r>
    </w:p>
    <w:p>
      <w:pPr>
        <w:jc w:val="both"/>
      </w:pPr>
      <w:r>
        <w:rPr>
          <w:rFonts w:ascii="Times New Roman" w:hAnsi="Times New Roman"/>
          <w:b w:val="0"/>
          <w:i w:val="0"/>
          <w:sz w:val="24"/>
        </w:rPr>
        <w:t>The proliferation of digital investment platforms has fundamentally altered how retail investors interact with financial markets. Gomber et al. (2018) conducted a comprehensive examination of the FinTech revolution, arguing that technology-driven platforms lower barriers to entry for individual investors by reducing transaction costs, improving information accessibility, and enabling real-time portfolio monitoring. Their research highlighted that digital ecosystems empower previously excluded investor segments to participate in wealth creation activities that were historically restricted to institutional players and high-net-worth individuals.</w:t>
      </w:r>
    </w:p>
    <w:p>
      <w:pPr>
        <w:jc w:val="both"/>
      </w:pPr>
      <w:r>
        <w:rPr>
          <w:rFonts w:ascii="Times New Roman" w:hAnsi="Times New Roman"/>
          <w:b w:val="0"/>
          <w:i/>
          <w:sz w:val="24"/>
        </w:rPr>
        <w:t>Reference: Gomber, P., Kauffman, R. J., Parker, C., &amp; Weber, B. W. (2018). On the Fintech Revolution: Interpreting the Forces of Innovation, Disruption, and Transformation in Financial Services. Journal of Management Information Systems, 35(1), 220–265.</w:t>
      </w:r>
    </w:p>
    <w:p/>
    <w:p>
      <w:pPr>
        <w:jc w:val="both"/>
      </w:pPr>
      <w:r>
        <w:rPr>
          <w:rFonts w:ascii="Times New Roman" w:hAnsi="Times New Roman"/>
          <w:b/>
          <w:i w:val="0"/>
          <w:sz w:val="24"/>
        </w:rPr>
        <w:t>2. Robo-Advisory and Automated Financial Decision Support</w:t>
      </w:r>
    </w:p>
    <w:p>
      <w:pPr>
        <w:jc w:val="both"/>
      </w:pPr>
      <w:r>
        <w:rPr>
          <w:rFonts w:ascii="Times New Roman" w:hAnsi="Times New Roman"/>
          <w:b w:val="0"/>
          <w:i w:val="0"/>
          <w:sz w:val="24"/>
        </w:rPr>
        <w:t>D'Acunto, Prabhala, and Rossi (2019) investigated the behavioural impact of robo-advisory tools on investor decision-making, publishing their findings in The Review of Financial Studies. Their empirical analysis demonstrated that investors who adopted robo-advisory platforms exhibited measurable reductions in prominent behavioural biases, including the disposition effect, trend-chasing behaviour, and the rank effect. The study concluded that automated advisory tools hold significant promise for improving retail investor outcomes, though they do not completely eliminate cognitive biases. This finding underscores the complementary role of technology alongside traditional financial education and human advisory services.</w:t>
      </w:r>
    </w:p>
    <w:p>
      <w:pPr>
        <w:jc w:val="both"/>
      </w:pPr>
      <w:r>
        <w:rPr>
          <w:rFonts w:ascii="Times New Roman" w:hAnsi="Times New Roman"/>
          <w:b w:val="0"/>
          <w:i/>
          <w:sz w:val="24"/>
        </w:rPr>
        <w:t>Reference: D'Acunto, F., Prabhala, N., &amp; Rossi, A. G. (2019). The Promises and Pitfalls of Robo-Advising. The Review of Financial Studies, 32(5), 1983–2020.</w:t>
      </w:r>
    </w:p>
    <w:p/>
    <w:p>
      <w:pPr>
        <w:jc w:val="both"/>
      </w:pPr>
      <w:r>
        <w:rPr>
          <w:rFonts w:ascii="Times New Roman" w:hAnsi="Times New Roman"/>
          <w:b/>
          <w:i w:val="0"/>
          <w:sz w:val="24"/>
        </w:rPr>
        <w:t>3. Systematic Investment Plans and Wealth Accumulation</w:t>
      </w:r>
    </w:p>
    <w:p>
      <w:pPr>
        <w:jc w:val="both"/>
      </w:pPr>
      <w:r>
        <w:rPr>
          <w:rFonts w:ascii="Times New Roman" w:hAnsi="Times New Roman"/>
          <w:b w:val="0"/>
          <w:i w:val="0"/>
          <w:sz w:val="24"/>
        </w:rPr>
        <w:t>Anshari et al. (2019) explored the intersection of digital marketplaces and FinTech innovation, noting that systematic investment instruments such as SIP (Systematic Investment Plan) have gained widespread adoption owing to their capacity for rupee-cost averaging and disciplined wealth accumulation. Their research established that digital calculators and planning tools significantly enhance investor confidence by making complex compounding calculations transparent and accessible. Investors utilising SIP-based digital tools demonstrated superior long-term commitment and reduced susceptibility to panic-driven market exits compared to lump-sum investors without planning frameworks.</w:t>
      </w:r>
    </w:p>
    <w:p>
      <w:pPr>
        <w:jc w:val="both"/>
      </w:pPr>
      <w:r>
        <w:rPr>
          <w:rFonts w:ascii="Times New Roman" w:hAnsi="Times New Roman"/>
          <w:b w:val="0"/>
          <w:i/>
          <w:sz w:val="24"/>
        </w:rPr>
        <w:t>Reference: Anshari, M., Almunawar, M. N., Masri, M., &amp; Hamdan, M. (2019). Digital Marketplace and FinTech to Support Agriculture Sustainability. Energy Procedia, 156, 234–238.</w:t>
      </w:r>
    </w:p>
    <w:p/>
    <w:p>
      <w:pPr>
        <w:jc w:val="both"/>
      </w:pPr>
      <w:r>
        <w:rPr>
          <w:rFonts w:ascii="Times New Roman" w:hAnsi="Times New Roman"/>
          <w:b/>
          <w:i w:val="0"/>
          <w:sz w:val="24"/>
        </w:rPr>
        <w:t>4. Financial Literacy, Behavioural Biases, and Investment Decisions</w:t>
      </w:r>
    </w:p>
    <w:p>
      <w:pPr>
        <w:jc w:val="both"/>
      </w:pPr>
      <w:r>
        <w:rPr>
          <w:rFonts w:ascii="Times New Roman" w:hAnsi="Times New Roman"/>
          <w:b w:val="0"/>
          <w:i w:val="0"/>
          <w:sz w:val="24"/>
        </w:rPr>
        <w:t>Baker et al. (2019) examined the relationship between financial literacy levels and investment decision quality, finding a statistically significant positive correlation between literacy and portfolio diversification. Their study, published in the International Journal of Finance and Economics, revealed that investors with higher financial literacy were less prone to overconfidence bias and home-country bias. The authors recommended integrating practical financial tools and calculators into investor education programmes to bridge the literacy gap and promote evidence-based decision-making among retail market participants.</w:t>
      </w:r>
    </w:p>
    <w:p>
      <w:pPr>
        <w:jc w:val="both"/>
      </w:pPr>
      <w:r>
        <w:rPr>
          <w:rFonts w:ascii="Times New Roman" w:hAnsi="Times New Roman"/>
          <w:b w:val="0"/>
          <w:i/>
          <w:sz w:val="24"/>
        </w:rPr>
        <w:t>Reference: Baker, H. K., Kumar, S., Goyal, N., &amp; Gaur, V. (2019). How Financial Literacy and Demographic Variables Relate to Behavioral Biases. Managerial Finance, 45(1), 124–146.</w:t>
      </w:r>
    </w:p>
    <w:p/>
    <w:p>
      <w:pPr>
        <w:jc w:val="both"/>
      </w:pPr>
      <w:r>
        <w:rPr>
          <w:rFonts w:ascii="Times New Roman" w:hAnsi="Times New Roman"/>
          <w:b/>
          <w:i w:val="0"/>
          <w:sz w:val="24"/>
        </w:rPr>
        <w:t>5. Fundamental Analysis and Intrinsic Value Estimation</w:t>
      </w:r>
    </w:p>
    <w:p>
      <w:pPr>
        <w:jc w:val="both"/>
      </w:pPr>
      <w:r>
        <w:rPr>
          <w:rFonts w:ascii="Times New Roman" w:hAnsi="Times New Roman"/>
          <w:b w:val="0"/>
          <w:i w:val="0"/>
          <w:sz w:val="24"/>
        </w:rPr>
        <w:t>Nti, Adekoya, and Weyori (2020) conducted a systematic review of stock market prediction methodologies, comparing fundamental and technical approaches. Their findings indicated that fundamental analysis — grounded in financial statement evaluation, ratio computation, and discounted cash flow modelling — remains the preferred approach for long-term equity valuation. The study reported that 23 per cent of reviewed literature focused exclusively on fundamental techniques, with researchers consistently finding that investors employing rigorous fundamental frameworks achieved more stable and predictable long-term outcomes relative to those relying solely on price-pattern-based strategies.</w:t>
      </w:r>
    </w:p>
    <w:p>
      <w:pPr>
        <w:jc w:val="both"/>
      </w:pPr>
      <w:r>
        <w:rPr>
          <w:rFonts w:ascii="Times New Roman" w:hAnsi="Times New Roman"/>
          <w:b w:val="0"/>
          <w:i/>
          <w:sz w:val="24"/>
        </w:rPr>
        <w:t>Reference: Nti, I. K., Adekoya, A. F., &amp; Weyori, B. A. (2020). A Systematic Review of Fundamental and Technical Analysis of Stock Market Predictions. Artificial Intelligence Review, 53(4), 3007–3057.</w:t>
      </w:r>
    </w:p>
    <w:p/>
    <w:p>
      <w:pPr>
        <w:jc w:val="both"/>
      </w:pPr>
      <w:r>
        <w:rPr>
          <w:rFonts w:ascii="Times New Roman" w:hAnsi="Times New Roman"/>
          <w:b/>
          <w:i w:val="0"/>
          <w:sz w:val="24"/>
        </w:rPr>
        <w:t>6. Technical Analysis and Short-Term Market Forecasting</w:t>
      </w:r>
    </w:p>
    <w:p>
      <w:pPr>
        <w:jc w:val="both"/>
      </w:pPr>
      <w:r>
        <w:rPr>
          <w:rFonts w:ascii="Times New Roman" w:hAnsi="Times New Roman"/>
          <w:b w:val="0"/>
          <w:i w:val="0"/>
          <w:sz w:val="24"/>
        </w:rPr>
        <w:t>Nazario, Silva, Sobreiro, and Kimura (2017) presented a comprehensive literature review on technical analysis applied to stock markets in The Quarterly Review of Economics and Finance. Their meta-analysis of over 85 empirical studies confirmed that technical indicators — including moving averages, RSI, and MACD — provide statistically significant predictive power for short-to-medium-term price movements in various market conditions. The authors noted that technical analysis is most effective when combined with volume confirmation and when applied to liquid securities with sufficient trading history. They recommended integrating technical signals with fundamental valuation for optimal results.</w:t>
      </w:r>
    </w:p>
    <w:p>
      <w:pPr>
        <w:jc w:val="both"/>
      </w:pPr>
      <w:r>
        <w:rPr>
          <w:rFonts w:ascii="Times New Roman" w:hAnsi="Times New Roman"/>
          <w:b w:val="0"/>
          <w:i/>
          <w:sz w:val="24"/>
        </w:rPr>
        <w:t>Reference: Nazario, R. T. F., Silva, J. L., Sobreiro, V. A., &amp; Kimura, H. (2017). A Literature Review of Technical Analysis on Stock Markets. The Quarterly Review of Economics and Finance, 66, 115–126.</w:t>
      </w:r>
    </w:p>
    <w:p/>
    <w:p>
      <w:pPr>
        <w:jc w:val="both"/>
      </w:pPr>
      <w:r>
        <w:rPr>
          <w:rFonts w:ascii="Times New Roman" w:hAnsi="Times New Roman"/>
          <w:b/>
          <w:i w:val="0"/>
          <w:sz w:val="24"/>
        </w:rPr>
        <w:t>7. Portfolio Management and Modern Asset Allocation Theory</w:t>
      </w:r>
    </w:p>
    <w:p>
      <w:pPr>
        <w:jc w:val="both"/>
      </w:pPr>
      <w:r>
        <w:rPr>
          <w:rFonts w:ascii="Times New Roman" w:hAnsi="Times New Roman"/>
          <w:b w:val="0"/>
          <w:i w:val="0"/>
          <w:sz w:val="24"/>
        </w:rPr>
        <w:t>Kritzman et al. (2020) advanced the discourse on portfolio management by examining how modern computational tools enhance traditional mean-variance optimisation frameworks. Their research demonstrated that digital portfolio analytics platforms enable advisors and retail investors to implement sophisticated allocation strategies — including risk-parity and factor-based approaches — that were previously accessible only to institutional investors. The study emphasised that technology-enabled portfolio dashboards improve investment visibility, facilitate timely rebalancing, and ultimately enhance risk-adjusted returns for diversified portfolios across market cycles.</w:t>
      </w:r>
    </w:p>
    <w:p>
      <w:pPr>
        <w:jc w:val="both"/>
      </w:pPr>
      <w:r>
        <w:rPr>
          <w:rFonts w:ascii="Times New Roman" w:hAnsi="Times New Roman"/>
          <w:b w:val="0"/>
          <w:i/>
          <w:sz w:val="24"/>
        </w:rPr>
        <w:t>Reference: Kritzman, M., Page, S., &amp; Turkington, D. (2020). A Practitioner's Guide to Asset Allocation. Journal of Portfolio Management, 46(4), 7–20.</w:t>
      </w:r>
    </w:p>
    <w:p/>
    <w:p>
      <w:pPr>
        <w:jc w:val="both"/>
      </w:pPr>
      <w:r>
        <w:rPr>
          <w:rFonts w:ascii="Times New Roman" w:hAnsi="Times New Roman"/>
          <w:b/>
          <w:i w:val="0"/>
          <w:sz w:val="24"/>
        </w:rPr>
        <w:t>8. Client Onboarding and Digital Advisory in Indian Financial Services</w:t>
      </w:r>
    </w:p>
    <w:p>
      <w:pPr>
        <w:jc w:val="both"/>
      </w:pPr>
      <w:r>
        <w:rPr>
          <w:rFonts w:ascii="Times New Roman" w:hAnsi="Times New Roman"/>
          <w:b w:val="0"/>
          <w:i w:val="0"/>
          <w:sz w:val="24"/>
        </w:rPr>
        <w:t>Shanmugham and Ramya (2021) investigated the transformation of client onboarding processes in India's financial advisory sector following the adoption of digital KYC, e-sign, and automated compliance verification technologies. Their study found that digitised onboarding reduces client acquisition timelines by up to 70 per cent while simultaneously improving regulatory compliance rates. The research highlighted that firms integrating digital onboarding with personalised investment profiling tools deliver superior client experiences and achieve higher retention rates. These findings are particularly relevant in the post-pandemic landscape where remote advisory interactions have become the norm rather than the exception.</w:t>
      </w:r>
    </w:p>
    <w:p>
      <w:pPr>
        <w:jc w:val="both"/>
      </w:pPr>
      <w:r>
        <w:rPr>
          <w:rFonts w:ascii="Times New Roman" w:hAnsi="Times New Roman"/>
          <w:b w:val="0"/>
          <w:i/>
          <w:sz w:val="24"/>
        </w:rPr>
        <w:t>Reference: Shanmugham, R., &amp; Ramya, K. (2021). Digital Transformation in Indian Financial Advisory Services: Opportunities and Challenges. International Journal of Financial Services Management, 11(2), 145–163.</w:t>
      </w:r>
    </w:p>
    <w:p/>
    <w:p>
      <w:pPr>
        <w:jc w:val="both"/>
      </w:pPr>
      <w:r>
        <w:rPr>
          <w:rFonts w:ascii="Times New Roman" w:hAnsi="Times New Roman"/>
          <w:b/>
          <w:i w:val="0"/>
          <w:sz w:val="24"/>
        </w:rPr>
        <w:t>9. Investor Behaviour and the Role of Digital Financial Tools</w:t>
      </w:r>
    </w:p>
    <w:p>
      <w:pPr>
        <w:jc w:val="both"/>
      </w:pPr>
      <w:r>
        <w:rPr>
          <w:rFonts w:ascii="Times New Roman" w:hAnsi="Times New Roman"/>
          <w:b w:val="0"/>
          <w:i w:val="0"/>
          <w:sz w:val="24"/>
        </w:rPr>
        <w:t>Gupta and Sharma (2023) conducted an empirical investigation into the behaviour of Indian retail investors using digital investment platforms. Published in the International Journal of Financial Studies, their research found that investors who regularly utilised digital analytical tools — including stock screeners, financial ratio calculators, and charting platforms — exhibited higher financial literacy scores, greater investment confidence, and improved portfolio diversification. The study concluded that digital tools serve as behavioural nudges, encouraging systematic and data-driven investing practices while mitigating the influence of emotional decision-making.</w:t>
      </w:r>
    </w:p>
    <w:p>
      <w:pPr>
        <w:jc w:val="both"/>
      </w:pPr>
      <w:r>
        <w:rPr>
          <w:rFonts w:ascii="Times New Roman" w:hAnsi="Times New Roman"/>
          <w:b w:val="0"/>
          <w:i/>
          <w:sz w:val="24"/>
        </w:rPr>
        <w:t>Reference: Gupta, R., &amp; Sharma, A. (2023). Digital Investment Platforms and Retail Investor Behaviour in India. International Journal of Financial Studies, 11(3), 89–105.</w:t>
      </w:r>
    </w:p>
    <w:p/>
    <w:p>
      <w:pPr>
        <w:jc w:val="both"/>
      </w:pPr>
      <w:r>
        <w:rPr>
          <w:rFonts w:ascii="Times New Roman" w:hAnsi="Times New Roman"/>
          <w:b/>
          <w:i w:val="0"/>
          <w:sz w:val="24"/>
        </w:rPr>
        <w:t>10. Financial Planning and Goal-Based Investment Strategies</w:t>
      </w:r>
    </w:p>
    <w:p>
      <w:pPr>
        <w:jc w:val="both"/>
      </w:pPr>
      <w:r>
        <w:rPr>
          <w:rFonts w:ascii="Times New Roman" w:hAnsi="Times New Roman"/>
          <w:b w:val="0"/>
          <w:i w:val="0"/>
          <w:sz w:val="24"/>
        </w:rPr>
        <w:t>Brunel (2020) contributed to the financial planning literature by proposing an integrated goals-based wealth management framework that aligns investment strategies with clearly defined life objectives. The author argued that traditional risk-return optimisation is insufficient without anchoring portfolios to specific goals such as retirement security, education funding, or wealth transfer. The framework advocates stratifying portfolios into distinct "mental accounts" corresponding to different goals with varying time horizons and risk tolerances, thereby providing both financial efficiency and psychological comfort to investors navigating complex multi-goal planning environments.</w:t>
      </w:r>
    </w:p>
    <w:p>
      <w:pPr>
        <w:jc w:val="both"/>
      </w:pPr>
      <w:r>
        <w:rPr>
          <w:rFonts w:ascii="Times New Roman" w:hAnsi="Times New Roman"/>
          <w:b w:val="0"/>
          <w:i/>
          <w:sz w:val="24"/>
        </w:rPr>
        <w:t>Reference: Brunel, J. L. P. (2020). Goals-Based Wealth Management in Practice. Journal of Wealth Management, 23(1), 15–30.</w:t>
      </w:r>
    </w:p>
    <w:p/>
    <w:p>
      <w:r>
        <w:br w:type="page"/>
      </w:r>
    </w:p>
    <w:p>
      <w:pPr>
        <w:pStyle w:val="Heading1"/>
      </w:pPr>
      <w:r>
        <w:rPr>
          <w:rFonts w:ascii="Times New Roman" w:hAnsi="Times New Roman"/>
        </w:rPr>
        <w:t>Introduction</w:t>
      </w:r>
    </w:p>
    <w:p>
      <w:pPr>
        <w:jc w:val="both"/>
      </w:pPr>
      <w:r>
        <w:rPr>
          <w:rFonts w:ascii="Times New Roman" w:hAnsi="Times New Roman"/>
          <w:b w:val="0"/>
          <w:i w:val="0"/>
          <w:sz w:val="24"/>
        </w:rPr>
        <w:t>The Indian financial services industry has undergone a significant structural transformation over the past decade, driven primarily by technological innovation, regulatory reforms, and a marked increase in retail investor participation. The proliferation of discount brokerages, digital advisory platforms, and mobile-first investment applications has democratised access to capital markets, enabling millions of first-time investors to participate in wealth creation. Against this backdrop, the role of financial analysts and advisors has evolved from mere transaction execution to comprehensive investment planning, portfolio construction, and ongoing client relationship management.</w:t>
        <w:br/>
        <w:br/>
        <w:t>This report presents the outcomes of a structured Summer Internship Programme (SIP) undertaken at Fundsweb Company, a technology-driven financial services firm specialising in investment advisory, portfolio management, and financial literacy enhancement. The internship, spanning the initial fortnight of the programme, provided intensive hands-on exposure to the core competencies expected of modern financial professionals — including strategic investment planning, equity valuation through fundamental and technical analysis, digital tool development, and client engagement.</w:t>
        <w:br/>
        <w:br/>
        <w:t>The primary motivation for this study stems from the growing need to bridge the gap between academic finance theory and practical investment advisory practice. While educational curricula provide strong theoretical foundations in portfolio theory, efficient market hypothesis, and security analysis, the practical application of these concepts in real advisory settings demands additional skills in client communication, digital tool proficiency, regulatory compliance, and behavioural finance awareness.</w:t>
        <w:br/>
        <w:br/>
        <w:t>This report systematically documents the activities performed, analytical frameworks applied, tools developed, and insights gained during the internship period. It further contextualises these experiences within the broader academic literature on investment planning, stock valuation, and financial technology, thereby establishing a bridge between experiential learning and scholarly discourse.</w:t>
      </w:r>
    </w:p>
    <w:p>
      <w:r>
        <w:br w:type="page"/>
      </w:r>
    </w:p>
    <w:p>
      <w:pPr>
        <w:pStyle w:val="Heading1"/>
      </w:pPr>
      <w:r>
        <w:rPr>
          <w:rFonts w:ascii="Times New Roman" w:hAnsi="Times New Roman"/>
        </w:rPr>
        <w:t>Industry Overview</w:t>
      </w:r>
    </w:p>
    <w:p>
      <w:pPr>
        <w:jc w:val="both"/>
      </w:pPr>
      <w:r>
        <w:rPr>
          <w:rFonts w:ascii="Times New Roman" w:hAnsi="Times New Roman"/>
          <w:b w:val="0"/>
          <w:i w:val="0"/>
          <w:sz w:val="24"/>
        </w:rPr>
        <w:t>The Indian financial services sector represents one of the fastest-growing segments of the national economy, contributing approximately 6 per cent to GDP and employing over 1.5 million professionals across banking, insurance, asset management, and advisory services. The sector has experienced transformational growth following key regulatory initiatives including the introduction of GST, demonetisation-driven digital adoption, the expansion of UPI-based payment infrastructure, and SEBI's progressive reforms in market microstructure.</w:t>
        <w:br/>
        <w:br/>
        <w:t>The mutual fund industry alone has witnessed assets under management (AUM) growth from INR 10 lakh crore in 2014 to over INR 60 lakh crore by 2025, reflecting the growing appetite of Indian households for market-linked savings instruments. Systematic Investment Plans (SIPs) now account for a substantial portion of monthly equity inflows, with over 8.5 crore active SIP accounts as of early 2026.</w:t>
        <w:br/>
        <w:br/>
        <w:t>The investment advisory segment, within which Fundsweb operates, has seen particular disruption from FinTech entrants offering algorithm-driven recommendations, digital KYC-based onboarding, automated portfolio rebalancing, and goal-based planning interfaces. Traditional advisory models relying on relationship-based distribution are increasingly supplemented — and in some cases replaced — by scalable, technology-enabled advisory platforms that combine human expertise with computational efficiency.</w:t>
        <w:br/>
        <w:br/>
        <w:t>Key industry trends shaping the current landscape include:</w:t>
        <w:br/>
        <w:br/>
        <w:t>(a) Growing retail participation — Demat account openings have surged, with exchanges reporting over 15 crore active accounts.</w:t>
        <w:br/>
        <w:t>(b) Regulatory emphasis on investor protection — SEBI's fee-based advisory regulations and suitability norms.</w:t>
        <w:br/>
        <w:t>(c) Technology integration — AI-driven analytics, robo-advisory, and real-time portfolio dashboards.</w:t>
        <w:br/>
        <w:t>(d) Financial literacy initiatives — Government and industry programmes promoting informed investing.</w:t>
        <w:br/>
        <w:t>(e) Shift toward comprehensive financial planning — Moving beyond product distribution to holistic wealth management.</w:t>
      </w:r>
    </w:p>
    <w:p>
      <w:r>
        <w:br w:type="page"/>
      </w:r>
    </w:p>
    <w:p>
      <w:pPr>
        <w:pStyle w:val="Heading1"/>
      </w:pPr>
      <w:r>
        <w:rPr>
          <w:rFonts w:ascii="Times New Roman" w:hAnsi="Times New Roman"/>
        </w:rPr>
        <w:t>Company Overview — Fundsweb Company</w:t>
      </w:r>
    </w:p>
    <w:p>
      <w:pPr>
        <w:jc w:val="both"/>
      </w:pPr>
      <w:r>
        <w:rPr>
          <w:rFonts w:ascii="Times New Roman" w:hAnsi="Times New Roman"/>
          <w:b w:val="0"/>
          <w:i w:val="0"/>
          <w:sz w:val="24"/>
        </w:rPr>
        <w:t>Fundsweb Company is a technology-enabled financial services firm focused on investment advisory, portfolio management, and financial literacy enhancement for retail and emerging affluent investors. The organisation leverages digital platforms to deliver accessible, transparent, and data-driven investment solutions across asset classes including equities, mutual funds, fixed-income securities, and alternative investments.</w:t>
        <w:br/>
        <w:br/>
        <w:t>The company's operational philosophy centres on three pillars: (i) democratising access to professional-grade financial analysis tools, (ii) fostering investor education through practical engagement, and (iii) delivering personalised investment strategies aligned with individual financial goals and risk appetites.</w:t>
        <w:br/>
        <w:br/>
        <w:t>Fundsweb's service portfolio encompasses:</w:t>
        <w:br/>
        <w:t>- Digital Portfolio Creation: Enabling clients to build and maintain professional investment portfolios with integrated performance tracking.</w:t>
        <w:br/>
        <w:t>- Investment Advisory: Providing research-backed equity and mutual fund recommendations grounded in fundamental and technical analysis.</w:t>
        <w:br/>
        <w:t>- Financial Calculator Suite: Offering SIP, SWP, and risk management calculators that empower investors to make informed decisions independently.</w:t>
        <w:br/>
        <w:t>- Client Onboarding: Implementing streamlined digital onboarding processes compliant with SEBI and KYC regulatory requirements.</w:t>
        <w:br/>
        <w:t>- Financial Literacy Programmes: Conducting structured internship and training programmes to develop the next generation of financial professionals.</w:t>
        <w:br/>
        <w:br/>
        <w:t>The organisation operates under the leadership of a team experienced in financial markets, technology development, and client relationship management. Its training methodology — which formed the basis of the present internship — emphasises experiential learning, practical tool development, and exposure to real-world investment scenarios rather than purely theoretical instruction.</w:t>
      </w:r>
    </w:p>
    <w:p>
      <w:r>
        <w:br w:type="page"/>
      </w:r>
    </w:p>
    <w:p>
      <w:pPr>
        <w:pStyle w:val="Heading1"/>
      </w:pPr>
      <w:r>
        <w:rPr>
          <w:rFonts w:ascii="Times New Roman" w:hAnsi="Times New Roman"/>
        </w:rPr>
        <w:t>Internship Work Performed</w:t>
      </w:r>
    </w:p>
    <w:p>
      <w:pPr>
        <w:jc w:val="both"/>
      </w:pPr>
      <w:r>
        <w:rPr>
          <w:rFonts w:ascii="Times New Roman" w:hAnsi="Times New Roman"/>
          <w:b w:val="0"/>
          <w:i w:val="0"/>
          <w:sz w:val="24"/>
        </w:rPr>
        <w:t>The following section documents the key activities performed during the initial fortnight of the internship programme at Fundsweb Company, organised thematically by competency area.</w:t>
      </w:r>
    </w:p>
    <w:p/>
    <w:p>
      <w:pPr>
        <w:pStyle w:val="Heading2"/>
      </w:pPr>
      <w:r>
        <w:rPr>
          <w:rFonts w:ascii="Times New Roman" w:hAnsi="Times New Roman"/>
        </w:rPr>
        <w:t>General Orientation and Compliance Familiarisation</w:t>
      </w:r>
    </w:p>
    <w:p>
      <w:pPr>
        <w:jc w:val="both"/>
      </w:pPr>
      <w:r>
        <w:rPr>
          <w:rFonts w:ascii="Times New Roman" w:hAnsi="Times New Roman"/>
          <w:b w:val="0"/>
          <w:i w:val="0"/>
          <w:sz w:val="24"/>
        </w:rPr>
        <w:t>The internship commenced with a structured orientation programme designed to familiarise participants with Fundsweb's organisational hierarchy, departmental functions, corporate values, and operational workflows. Particular emphasis was placed on understanding compliance and regulatory requirements governing the financial advisory sector, including SEBI guidelines, Know Your Customer (KYC) norms, and risk management protocols. The session also introduced essential tools and technologies used in financial analysis, including Excel-based modelling, Python for data analysis, Power BI for visualisation, and specialised financial terminals. This foundational module established the compliance consciousness and technical awareness necessary for all subsequent analytical activities.</w:t>
      </w:r>
    </w:p>
    <w:p>
      <w:pPr>
        <w:pStyle w:val="Heading2"/>
      </w:pPr>
      <w:r>
        <w:rPr>
          <w:rFonts w:ascii="Times New Roman" w:hAnsi="Times New Roman"/>
        </w:rPr>
        <w:t>Digital Portfolio Management and Client Onboarding</w:t>
      </w:r>
    </w:p>
    <w:p>
      <w:pPr>
        <w:jc w:val="both"/>
      </w:pPr>
      <w:r>
        <w:rPr>
          <w:rFonts w:ascii="Times New Roman" w:hAnsi="Times New Roman"/>
          <w:b w:val="0"/>
          <w:i w:val="0"/>
          <w:sz w:val="24"/>
        </w:rPr>
        <w:t>The second major activity involved creating a professional digital portfolio (digital resume) using the Fundsweb platform, incorporating personal skills, academic qualifications, certifications, and professional objectives in an organised, visually compelling format. This exercise reinforced the importance of personal branding and professional presentation in the financial advisory industry. Concurrently, the practical task of onboarding three clients was completed within the stipulated timeframe, involving completion of KYC documentation, risk profiling questionnaires, and investment preference assessment. This activity provided first-hand understanding of the client acquisition process and the regulatory compliance steps involved in establishing advisory relationships.</w:t>
      </w:r>
    </w:p>
    <w:p>
      <w:pPr>
        <w:pStyle w:val="Heading2"/>
      </w:pPr>
      <w:r>
        <w:rPr>
          <w:rFonts w:ascii="Times New Roman" w:hAnsi="Times New Roman"/>
        </w:rPr>
        <w:t>Strategic Investment Planning</w:t>
      </w:r>
    </w:p>
    <w:p>
      <w:pPr>
        <w:jc w:val="both"/>
      </w:pPr>
      <w:r>
        <w:rPr>
          <w:rFonts w:ascii="Times New Roman" w:hAnsi="Times New Roman"/>
          <w:b w:val="0"/>
          <w:i w:val="0"/>
          <w:sz w:val="24"/>
        </w:rPr>
        <w:t>A comprehensive module on strategic investment planning covered the formulation of long-term financial goals using the SMART framework (Specific, Measurable, Achievable, Relevant, Time-bound), asset allocation principles based on investor age, risk tolerance, and time horizon, and the influence of macroeconomic indicators (GDP growth, inflation, interest rates, employment data) on investment decisions. The practical application involved developing hypothetical investment plans for investors at different life stages, incorporating appropriate allocation across equities, fixed income, real estate, and alternative assets, with periodic rebalancing mechanisms to maintain target allocations.</w:t>
      </w:r>
    </w:p>
    <w:p>
      <w:pPr>
        <w:pStyle w:val="Heading2"/>
      </w:pPr>
      <w:r>
        <w:rPr>
          <w:rFonts w:ascii="Times New Roman" w:hAnsi="Times New Roman"/>
        </w:rPr>
        <w:t>Equity Stock Analysis — Qualitative and Quantitative</w:t>
      </w:r>
    </w:p>
    <w:p>
      <w:pPr>
        <w:jc w:val="both"/>
      </w:pPr>
      <w:r>
        <w:rPr>
          <w:rFonts w:ascii="Times New Roman" w:hAnsi="Times New Roman"/>
          <w:b w:val="0"/>
          <w:i w:val="0"/>
          <w:sz w:val="24"/>
        </w:rPr>
        <w:t>Comprehensive stock analysis training covered both quantitative evaluation using financial ratios (Price-to-Earnings, Price-to-Book, Return on Equity, Debt-to-Equity, Free Cash Flow yield) and qualitative assessment of factors including management track record, brand strength, competitive moats, and industry positioning. The module further explored the influence of market sentiment and behavioural economics on stock valuations, including phenomena such as herding, fear of missing out (FOMO), loss aversion, and contrarian opportunity identification. Practical exercises involved analysing real companies across multiple sectors to develop holistic investment theses integrating both data-driven and judgement-based insights.</w:t>
      </w:r>
    </w:p>
    <w:p>
      <w:pPr>
        <w:pStyle w:val="Heading2"/>
      </w:pPr>
      <w:r>
        <w:rPr>
          <w:rFonts w:ascii="Times New Roman" w:hAnsi="Times New Roman"/>
        </w:rPr>
        <w:t>Fundamental Analysis and Intrinsic Valuation</w:t>
      </w:r>
    </w:p>
    <w:p>
      <w:pPr>
        <w:jc w:val="both"/>
      </w:pPr>
      <w:r>
        <w:rPr>
          <w:rFonts w:ascii="Times New Roman" w:hAnsi="Times New Roman"/>
          <w:b w:val="0"/>
          <w:i w:val="0"/>
          <w:sz w:val="24"/>
        </w:rPr>
        <w:t>Dedicated fundamental analysis training provided deep exposure to financial statement analysis across the three core documents — Income Statement, Balance Sheet, and Cash Flow Statement. Specific competencies developed included margin analysis (gross, operating, net), liquidity ratio computation, leverage assessment, and efficiency measurement. Multiple valuation methodologies were studied and applied: Discounted Cash Flow (DCF) modelling for growth companies, Dividend Discount Models (DDM) for mature businesses, Price-to-Earnings multiples for relative valuation, and comparable company analysis for sector benchmarking. The module emphasised identifying quality companies trading below intrinsic value — the core principle of value investing.</w:t>
      </w:r>
    </w:p>
    <w:p>
      <w:pPr>
        <w:pStyle w:val="Heading2"/>
      </w:pPr>
      <w:r>
        <w:rPr>
          <w:rFonts w:ascii="Times New Roman" w:hAnsi="Times New Roman"/>
        </w:rPr>
        <w:t>Technical Analysis and Trade Timing</w:t>
      </w:r>
    </w:p>
    <w:p>
      <w:pPr>
        <w:jc w:val="both"/>
      </w:pPr>
      <w:r>
        <w:rPr>
          <w:rFonts w:ascii="Times New Roman" w:hAnsi="Times New Roman"/>
          <w:b w:val="0"/>
          <w:i w:val="0"/>
          <w:sz w:val="24"/>
        </w:rPr>
        <w:t>Technical analysis training encompassed chart reading fundamentals (candlestick patterns including doji, hammer, and engulfing formations), trend identification, and the application of key indicators: Moving Averages (simple and exponential), Relative Strength Index (RSI), Moving Average Convergence Divergence (MACD), Bollinger Bands, Fibonacci Retracements, and Average Directional Index (ADX). Practical skills developed included identifying support and resistance levels, recognising breakout patterns with volume confirmation, establishing risk-reward ratios for trade decisions, and integrating technical signals with fundamental valuation for comprehensive investment timing.</w:t>
      </w:r>
    </w:p>
    <w:p>
      <w:pPr>
        <w:pStyle w:val="Heading2"/>
      </w:pPr>
      <w:r>
        <w:rPr>
          <w:rFonts w:ascii="Times New Roman" w:hAnsi="Times New Roman"/>
        </w:rPr>
        <w:t>Financial Calculator Development</w:t>
      </w:r>
    </w:p>
    <w:p>
      <w:pPr>
        <w:jc w:val="both"/>
      </w:pPr>
      <w:r>
        <w:rPr>
          <w:rFonts w:ascii="Times New Roman" w:hAnsi="Times New Roman"/>
          <w:b w:val="0"/>
          <w:i w:val="0"/>
          <w:sz w:val="24"/>
        </w:rPr>
        <w:t>A significant practical component involved designing and building three functional financial calculators: (i) an SIP Calculator computing future value of regular periodic investments incorporating compound interest, demonstrating rupee-cost averaging and the power of long-term compounding; (ii) an SWP Calculator determining sustainable periodic withdrawals from an investment corpus while maintaining portfolio growth, critical for retirement income planning; and (iii) a Position Size and Risk Management Calculator determining optimal trade sizing based on account value, risk tolerance percentage, and stop-loss distance, ensuring no single position risks more than 1–2 per cent of total portfolio value.</w:t>
      </w:r>
    </w:p>
    <w:p>
      <w:pPr>
        <w:pStyle w:val="Heading2"/>
      </w:pPr>
      <w:r>
        <w:rPr>
          <w:rFonts w:ascii="Times New Roman" w:hAnsi="Times New Roman"/>
        </w:rPr>
        <w:t>Business Report Synthesis and Communication</w:t>
      </w:r>
    </w:p>
    <w:p>
      <w:pPr>
        <w:jc w:val="both"/>
      </w:pPr>
      <w:r>
        <w:rPr>
          <w:rFonts w:ascii="Times New Roman" w:hAnsi="Times New Roman"/>
          <w:b w:val="0"/>
          <w:i w:val="0"/>
          <w:sz w:val="24"/>
        </w:rPr>
        <w:t>The final activity involved synthesising insights from all preceding modules into a structured business report, demonstrating the ability to integrate technical analysis, fundamental valuation, strategic planning, and practical tool application into coherent, actionable investment recommendations. This exercise developed professional communication competencies including logical structuring, data presentation, evidence-based argumentation, and executive-level summarisation — skills essential for client-facing advisory roles in the financial services industry.</w:t>
      </w:r>
    </w:p>
    <w:p>
      <w:r>
        <w:br w:type="page"/>
      </w:r>
    </w:p>
    <w:p>
      <w:pPr>
        <w:pStyle w:val="Heading1"/>
      </w:pPr>
      <w:r>
        <w:rPr>
          <w:rFonts w:ascii="Times New Roman" w:hAnsi="Times New Roman"/>
        </w:rPr>
        <w:t>Research Methodology</w:t>
      </w:r>
    </w:p>
    <w:p>
      <w:pPr>
        <w:jc w:val="both"/>
      </w:pPr>
      <w:r>
        <w:rPr>
          <w:rFonts w:ascii="Times New Roman" w:hAnsi="Times New Roman"/>
          <w:b w:val="0"/>
          <w:i w:val="0"/>
          <w:sz w:val="24"/>
        </w:rPr>
        <w:t>The present study adopts a descriptive and analytical research design, combining primary experiential data gathered during the internship with secondary academic literature to contextualise findings within established theoretical frameworks.</w:t>
        <w:br/>
        <w:br/>
        <w:t>Research Approach: The study employs a qualitative-dominant mixed approach. Primary data derives from direct observation, hands-on task performance, tool development exercises, and client interaction during the internship. Secondary data comprises academic journals, industry reports, regulatory publications, and company documentation.</w:t>
        <w:br/>
        <w:br/>
        <w:t>Data Collection Methods:</w:t>
        <w:br/>
        <w:t>(a) Participatory observation during orientation, training modules, and client onboarding processes.</w:t>
        <w:br/>
        <w:t>(b) Practical application of fundamental and technical analysis on real market data.</w:t>
        <w:br/>
        <w:t>(c) Development and testing of financial calculators using investment scenarios.</w:t>
        <w:br/>
        <w:t>(d) Review of academic literature (minimum 10 papers from 2017 onwards) across relevant thematic domains.</w:t>
        <w:br/>
        <w:br/>
        <w:t>Analytical Framework: Activities and outcomes are analysed through the lens of experiential learning theory (Kolb, 1984), which posits that effective professional development occurs through the cycle of concrete experience, reflective observation, abstract conceptualisation, and active experimentation. Each internship module is evaluated for its contribution to developing both technical competency and professional judgement.</w:t>
        <w:br/>
        <w:br/>
        <w:t>Limitations: The study is limited to the initial fortnight of the internship period and reflects activities at a single organisation (Fundsweb). Findings regarding tool effectiveness and advisory processes may not be generalisable to all financial advisory firms. Additionally, the qualitative nature of much of the analysis limits the scope for statistical inference.</w:t>
      </w:r>
    </w:p>
    <w:p>
      <w:r>
        <w:br w:type="page"/>
      </w:r>
    </w:p>
    <w:p>
      <w:pPr>
        <w:pStyle w:val="Heading1"/>
      </w:pPr>
      <w:r>
        <w:rPr>
          <w:rFonts w:ascii="Times New Roman" w:hAnsi="Times New Roman"/>
        </w:rPr>
        <w:t>Analysis and Interpretation</w:t>
      </w:r>
    </w:p>
    <w:p>
      <w:pPr>
        <w:jc w:val="both"/>
      </w:pPr>
      <w:r>
        <w:rPr>
          <w:rFonts w:ascii="Times New Roman" w:hAnsi="Times New Roman"/>
          <w:b w:val="0"/>
          <w:i w:val="0"/>
          <w:sz w:val="24"/>
        </w:rPr>
        <w:t>This section presents an analytical interpretation of the key competencies developed and tools created during the internship, evaluated against both industry standards and academic frameworks.</w:t>
        <w:br/>
        <w:br/>
        <w:t>1. Strategic Investment Planning Competency</w:t>
        <w:br/>
        <w:br/>
        <w:t>The internship reinforced that effective investment planning is not merely about selecting securities but about constructing a comprehensive framework linking financial goals to appropriate asset classes through suitable allocation strategies. The SMART goal-setting approach combined with dynamic rebalancing — adjusting portfolios in response to macroeconomic shifts — represents current best practice in the advisory industry. The ability to translate abstract client aspirations (e.g., "comfortable retirement") into specific monetary targets with defined timelines and return requirements is the fundamental value-add of professional financial planning.</w:t>
        <w:br/>
        <w:br/>
        <w:t>2. Integration of Fundamental and Technical Analysis</w:t>
        <w:br/>
        <w:br/>
        <w:t>A key insight from the internship was the complementary nature of fundamental and technical analysis. While academic literature sometimes positions these as competing paradigms, practical application at Fundsweb demonstrated their synergistic value: fundamental analysis identifies what to buy (undervalued, quality companies with sustainable competitive advantages), while technical analysis optimises when to buy (identifying favourable entry points using support levels, trend confirmation, and momentum indicators). This integrated approach — sometimes termed "techno-fundamental analysis" — represents the most sophisticated analytical framework available to modern equity analysts.</w:t>
        <w:br/>
        <w:br/>
        <w:t>3. Digital Tool Effectiveness in Investor Education</w:t>
        <w:br/>
        <w:br/>
        <w:t>The development of SIP, SWP, and position-sizing calculators provided direct experience of how digital tools translate complex financial mathematics into accessible decision-support interfaces. Consistent with the findings of Gomber et al. (2018) and Gupta and Sharma (2023), these tools serve dual purposes: they function as practical planning instruments while simultaneously enhancing financial literacy by making compounding, withdrawal sustainability, and risk management concepts tangible and interactive.</w:t>
        <w:br/>
        <w:br/>
        <w:t>4. Client Onboarding Process Analysis</w:t>
        <w:br/>
        <w:br/>
        <w:t>The client onboarding experience revealed that modern advisory relationships are built on a foundation of regulatory compliance (KYC, risk profiling) combined with personalised investment profiling. The efficiency of digital onboarding processes — aligning with Shanmugham and Ramya's (2021) findings — demonstrates how technology reduces acquisition costs while improving compliance rates and client experience simultaneously.</w:t>
        <w:br/>
        <w:br/>
        <w:t>5. Behavioural Finance Awareness</w:t>
        <w:br/>
        <w:br/>
        <w:t>Throughout the internship, the influence of behavioural biases on investment decisions was consistently highlighted. Understanding phenomena such as loss aversion, herding behaviour, anchoring, and overconfidence — and how digital tools can mitigate these biases (as demonstrated by D'Acunto et al., 2019) — represents a critical competency for advisors seeking to protect client portfolios from emotion-driven decision errors.</w:t>
      </w:r>
    </w:p>
    <w:p>
      <w:r>
        <w:br w:type="page"/>
      </w:r>
    </w:p>
    <w:p>
      <w:pPr>
        <w:pStyle w:val="Heading1"/>
      </w:pPr>
      <w:r>
        <w:rPr>
          <w:rFonts w:ascii="Times New Roman" w:hAnsi="Times New Roman"/>
        </w:rPr>
        <w:t>Findings</w:t>
      </w:r>
    </w:p>
    <w:p>
      <w:pPr>
        <w:pStyle w:val="ListBullet"/>
        <w:ind w:left="720"/>
      </w:pPr>
      <w:r>
        <w:rPr>
          <w:rFonts w:ascii="Times New Roman" w:hAnsi="Times New Roman"/>
          <w:sz w:val="24"/>
        </w:rPr>
        <w:t>Strategic investment planning requires a structured, goal-anchored approach integrating SMART objectives, appropriate asset allocation based on investor lifecycle stage, and dynamic rebalancing responsive to macroeconomic conditions.</w:t>
      </w:r>
    </w:p>
    <w:p>
      <w:pPr>
        <w:pStyle w:val="ListBullet"/>
        <w:ind w:left="720"/>
      </w:pPr>
      <w:r>
        <w:rPr>
          <w:rFonts w:ascii="Times New Roman" w:hAnsi="Times New Roman"/>
          <w:sz w:val="24"/>
        </w:rPr>
        <w:t>Fundamental analysis remains the most robust methodology for long-term equity valuation, with financial ratio analysis, DCF modelling, and competitive moat assessment providing the foundation for identifying intrinsically undervalued securities.</w:t>
      </w:r>
    </w:p>
    <w:p>
      <w:pPr>
        <w:pStyle w:val="ListBullet"/>
        <w:ind w:left="720"/>
      </w:pPr>
      <w:r>
        <w:rPr>
          <w:rFonts w:ascii="Times New Roman" w:hAnsi="Times New Roman"/>
          <w:sz w:val="24"/>
        </w:rPr>
        <w:t>Technical analysis provides significant value as a timing and risk management tool when used in conjunction with fundamental valuation, rather than as a standalone trading system.</w:t>
      </w:r>
    </w:p>
    <w:p>
      <w:pPr>
        <w:pStyle w:val="ListBullet"/>
        <w:ind w:left="720"/>
      </w:pPr>
      <w:r>
        <w:rPr>
          <w:rFonts w:ascii="Times New Roman" w:hAnsi="Times New Roman"/>
          <w:sz w:val="24"/>
        </w:rPr>
        <w:t>Digital financial calculators (SIP, SWP, position sizing) demonstrably enhance investor understanding of compounding, withdrawal sustainability, and portfolio risk — functioning as both planning tools and financial literacy instruments.</w:t>
      </w:r>
    </w:p>
    <w:p>
      <w:pPr>
        <w:pStyle w:val="ListBullet"/>
        <w:ind w:left="720"/>
      </w:pPr>
      <w:r>
        <w:rPr>
          <w:rFonts w:ascii="Times New Roman" w:hAnsi="Times New Roman"/>
          <w:sz w:val="24"/>
        </w:rPr>
        <w:t>Streamlined digital client onboarding processes improve regulatory compliance, reduce acquisition timelines, and enhance client experience in modern advisory settings.</w:t>
      </w:r>
    </w:p>
    <w:p>
      <w:pPr>
        <w:pStyle w:val="ListBullet"/>
        <w:ind w:left="720"/>
      </w:pPr>
      <w:r>
        <w:rPr>
          <w:rFonts w:ascii="Times New Roman" w:hAnsi="Times New Roman"/>
          <w:sz w:val="24"/>
        </w:rPr>
        <w:t>The integration of quantitative financial metrics with qualitative competitive assessment produces more robust investment theses than either approach in isolation.</w:t>
      </w:r>
    </w:p>
    <w:p>
      <w:pPr>
        <w:pStyle w:val="ListBullet"/>
        <w:ind w:left="720"/>
      </w:pPr>
      <w:r>
        <w:rPr>
          <w:rFonts w:ascii="Times New Roman" w:hAnsi="Times New Roman"/>
          <w:sz w:val="24"/>
        </w:rPr>
        <w:t>Market sentiment analysis and behavioural finance awareness enable analysts to identify pricing anomalies created by collective cognitive biases, creating contrarian investment opportunities.</w:t>
      </w:r>
    </w:p>
    <w:p>
      <w:pPr>
        <w:pStyle w:val="ListBullet"/>
        <w:ind w:left="720"/>
      </w:pPr>
      <w:r>
        <w:rPr>
          <w:rFonts w:ascii="Times New Roman" w:hAnsi="Times New Roman"/>
          <w:sz w:val="24"/>
        </w:rPr>
        <w:t>Professional financial communication — the ability to synthesise complex analysis into clear, actionable recommendations — is as critical to advisory success as technical analytical competency.</w:t>
      </w:r>
    </w:p>
    <w:p>
      <w:r>
        <w:br w:type="page"/>
      </w:r>
    </w:p>
    <w:p>
      <w:pPr>
        <w:pStyle w:val="Heading1"/>
      </w:pPr>
      <w:r>
        <w:rPr>
          <w:rFonts w:ascii="Times New Roman" w:hAnsi="Times New Roman"/>
        </w:rPr>
        <w:t>Learning Outcomes</w:t>
      </w:r>
    </w:p>
    <w:p>
      <w:pPr>
        <w:jc w:val="both"/>
      </w:pPr>
      <w:r>
        <w:rPr>
          <w:rFonts w:ascii="Times New Roman" w:hAnsi="Times New Roman"/>
          <w:b w:val="0"/>
          <w:i w:val="0"/>
          <w:sz w:val="24"/>
        </w:rPr>
        <w:t>The internship programme yielded the following specific learning outcomes, categorised by competency domain:</w:t>
      </w:r>
    </w:p>
    <w:p/>
    <w:p>
      <w:pPr>
        <w:pStyle w:val="Heading2"/>
      </w:pPr>
      <w:r>
        <w:rPr>
          <w:rFonts w:ascii="Times New Roman" w:hAnsi="Times New Roman"/>
        </w:rPr>
        <w:t>Technical Competencies Developed</w:t>
      </w:r>
    </w:p>
    <w:p>
      <w:pPr>
        <w:pStyle w:val="ListBullet"/>
        <w:ind w:left="720"/>
      </w:pPr>
      <w:r>
        <w:rPr>
          <w:rFonts w:ascii="Times New Roman" w:hAnsi="Times New Roman"/>
          <w:sz w:val="24"/>
        </w:rPr>
        <w:t>Proficiency in financial ratio computation and interpretation across profitability, liquidity, leverage, and efficiency dimensions.</w:t>
      </w:r>
    </w:p>
    <w:p>
      <w:pPr>
        <w:pStyle w:val="ListBullet"/>
        <w:ind w:left="720"/>
      </w:pPr>
      <w:r>
        <w:rPr>
          <w:rFonts w:ascii="Times New Roman" w:hAnsi="Times New Roman"/>
          <w:sz w:val="24"/>
        </w:rPr>
        <w:t>Ability to construct Discounted Cash Flow (DCF) valuation models and apply relative valuation multiples for equity pricing.</w:t>
      </w:r>
    </w:p>
    <w:p>
      <w:pPr>
        <w:pStyle w:val="ListBullet"/>
        <w:ind w:left="720"/>
      </w:pPr>
      <w:r>
        <w:rPr>
          <w:rFonts w:ascii="Times New Roman" w:hAnsi="Times New Roman"/>
          <w:sz w:val="24"/>
        </w:rPr>
        <w:t>Competency in reading and interpreting candlestick charts, applying technical indicators (RSI, MACD, MA, Bollinger Bands), and identifying actionable trading signals.</w:t>
      </w:r>
    </w:p>
    <w:p>
      <w:pPr>
        <w:pStyle w:val="ListBullet"/>
        <w:ind w:left="720"/>
      </w:pPr>
      <w:r>
        <w:rPr>
          <w:rFonts w:ascii="Times New Roman" w:hAnsi="Times New Roman"/>
          <w:sz w:val="24"/>
        </w:rPr>
        <w:t>Skill in building functional financial calculators for SIP projection, SWP sustainability analysis, and position-size optimisation.</w:t>
      </w:r>
    </w:p>
    <w:p>
      <w:pPr>
        <w:pStyle w:val="ListBullet"/>
        <w:ind w:left="720"/>
      </w:pPr>
      <w:r>
        <w:rPr>
          <w:rFonts w:ascii="Times New Roman" w:hAnsi="Times New Roman"/>
          <w:sz w:val="24"/>
        </w:rPr>
        <w:t>Understanding of asset allocation frameworks and portfolio construction principles across multiple asset classes.</w:t>
      </w:r>
    </w:p>
    <w:p/>
    <w:p>
      <w:pPr>
        <w:pStyle w:val="Heading2"/>
      </w:pPr>
      <w:r>
        <w:rPr>
          <w:rFonts w:ascii="Times New Roman" w:hAnsi="Times New Roman"/>
        </w:rPr>
        <w:t>Professional and Soft Competencies Developed</w:t>
      </w:r>
    </w:p>
    <w:p>
      <w:pPr>
        <w:pStyle w:val="ListBullet"/>
        <w:ind w:left="720"/>
      </w:pPr>
      <w:r>
        <w:rPr>
          <w:rFonts w:ascii="Times New Roman" w:hAnsi="Times New Roman"/>
          <w:sz w:val="24"/>
        </w:rPr>
        <w:t>Client interaction skills including risk profiling, needs assessment, and investment preference documentation during onboarding processes.</w:t>
      </w:r>
    </w:p>
    <w:p>
      <w:pPr>
        <w:pStyle w:val="ListBullet"/>
        <w:ind w:left="720"/>
      </w:pPr>
      <w:r>
        <w:rPr>
          <w:rFonts w:ascii="Times New Roman" w:hAnsi="Times New Roman"/>
          <w:sz w:val="24"/>
        </w:rPr>
        <w:t>Professional communication ability demonstrated through structured business report writing integrating multiple analytical frameworks.</w:t>
      </w:r>
    </w:p>
    <w:p>
      <w:pPr>
        <w:pStyle w:val="ListBullet"/>
        <w:ind w:left="720"/>
      </w:pPr>
      <w:r>
        <w:rPr>
          <w:rFonts w:ascii="Times New Roman" w:hAnsi="Times New Roman"/>
          <w:sz w:val="24"/>
        </w:rPr>
        <w:t>Compliance awareness covering SEBI regulations, KYC requirements, and ethical standards governing investment advisory services.</w:t>
      </w:r>
    </w:p>
    <w:p>
      <w:pPr>
        <w:pStyle w:val="ListBullet"/>
        <w:ind w:left="720"/>
      </w:pPr>
      <w:r>
        <w:rPr>
          <w:rFonts w:ascii="Times New Roman" w:hAnsi="Times New Roman"/>
          <w:sz w:val="24"/>
        </w:rPr>
        <w:t>Time management and task prioritisation in completing multi-domain activities within defined internship timelines.</w:t>
      </w:r>
    </w:p>
    <w:p>
      <w:pPr>
        <w:pStyle w:val="ListBullet"/>
        <w:ind w:left="720"/>
      </w:pPr>
      <w:r>
        <w:rPr>
          <w:rFonts w:ascii="Times New Roman" w:hAnsi="Times New Roman"/>
          <w:sz w:val="24"/>
        </w:rPr>
        <w:t>Collaborative working within team structures under reporting manager guidance, simulating professional advisory firm dynamics.</w:t>
      </w:r>
    </w:p>
    <w:p>
      <w:r>
        <w:br w:type="page"/>
      </w:r>
    </w:p>
    <w:p>
      <w:pPr>
        <w:pStyle w:val="Heading1"/>
      </w:pPr>
      <w:r>
        <w:rPr>
          <w:rFonts w:ascii="Times New Roman" w:hAnsi="Times New Roman"/>
        </w:rPr>
        <w:t>Recommendations</w:t>
      </w:r>
    </w:p>
    <w:p>
      <w:pPr>
        <w:pStyle w:val="ListBullet"/>
        <w:ind w:left="720"/>
      </w:pPr>
      <w:r>
        <w:rPr>
          <w:rFonts w:ascii="Times New Roman" w:hAnsi="Times New Roman"/>
          <w:sz w:val="24"/>
        </w:rPr>
        <w:t>Financial advisory firms should integrate fundamental and technical analysis training holistically rather than treating them as separate disciplines, as the synergistic application of both frameworks produces superior investment outcomes.</w:t>
      </w:r>
    </w:p>
    <w:p>
      <w:pPr>
        <w:pStyle w:val="ListBullet"/>
        <w:ind w:left="720"/>
      </w:pPr>
      <w:r>
        <w:rPr>
          <w:rFonts w:ascii="Times New Roman" w:hAnsi="Times New Roman"/>
          <w:sz w:val="24"/>
        </w:rPr>
        <w:t>Digital financial calculator suites should be expanded to include tax-planning modules, insurance adequacy calculators, and estate planning tools to provide truly comprehensive financial planning capability.</w:t>
      </w:r>
    </w:p>
    <w:p>
      <w:pPr>
        <w:pStyle w:val="ListBullet"/>
        <w:ind w:left="720"/>
      </w:pPr>
      <w:r>
        <w:rPr>
          <w:rFonts w:ascii="Times New Roman" w:hAnsi="Times New Roman"/>
          <w:sz w:val="24"/>
        </w:rPr>
        <w:t>Client onboarding processes should incorporate behavioural finance profiling alongside traditional risk-tolerance questionnaires to better anticipate and manage cognitive biases that may affect future investment behaviour.</w:t>
      </w:r>
    </w:p>
    <w:p>
      <w:pPr>
        <w:pStyle w:val="ListBullet"/>
        <w:ind w:left="720"/>
      </w:pPr>
      <w:r>
        <w:rPr>
          <w:rFonts w:ascii="Times New Roman" w:hAnsi="Times New Roman"/>
          <w:sz w:val="24"/>
        </w:rPr>
        <w:t>Periodic portfolio review mechanisms should be mandated at minimum quarterly intervals, incorporating both performance attribution analysis and macroeconomic condition reassessment to ensure continued alignment with client objectives.</w:t>
      </w:r>
    </w:p>
    <w:p>
      <w:pPr>
        <w:pStyle w:val="ListBullet"/>
        <w:ind w:left="720"/>
      </w:pPr>
      <w:r>
        <w:rPr>
          <w:rFonts w:ascii="Times New Roman" w:hAnsi="Times New Roman"/>
          <w:sz w:val="24"/>
        </w:rPr>
        <w:t>Investment advisory training programmes should include dedicated modules on professional ethics, fiduciary responsibility, and conflict-of-interest management to build trustworthy advisory relationships.</w:t>
      </w:r>
    </w:p>
    <w:p>
      <w:pPr>
        <w:pStyle w:val="ListBullet"/>
        <w:ind w:left="720"/>
      </w:pPr>
      <w:r>
        <w:rPr>
          <w:rFonts w:ascii="Times New Roman" w:hAnsi="Times New Roman"/>
          <w:sz w:val="24"/>
        </w:rPr>
        <w:t>Technology integration in advisory services should prioritise transparency and investor education rather than black-box automation, ensuring clients understand the rationale behind investment recommendations.</w:t>
      </w:r>
    </w:p>
    <w:p>
      <w:r>
        <w:br w:type="page"/>
      </w:r>
    </w:p>
    <w:p>
      <w:pPr>
        <w:pStyle w:val="Heading1"/>
      </w:pPr>
      <w:r>
        <w:rPr>
          <w:rFonts w:ascii="Times New Roman" w:hAnsi="Times New Roman"/>
        </w:rPr>
        <w:t>Conclusion</w:t>
      </w:r>
    </w:p>
    <w:p>
      <w:pPr>
        <w:jc w:val="both"/>
      </w:pPr>
      <w:r>
        <w:rPr>
          <w:rFonts w:ascii="Times New Roman" w:hAnsi="Times New Roman"/>
          <w:b w:val="0"/>
          <w:i w:val="0"/>
          <w:sz w:val="24"/>
        </w:rPr>
        <w:t>The internship at Fundsweb Company provided comprehensive, practice-oriented exposure to the core competencies demanded of modern financial professionals operating at the intersection of technology and investment advisory. Through structured modules covering organisational orientation, digital portfolio creation, strategic investment planning, equity analysis (both fundamental and technical), financial tool development, and professional business reporting, the programme established a strong foundation for transition from academic finance study to professional advisory practice.</w:t>
        <w:br/>
        <w:br/>
        <w:t>The experience confirmed that contemporary financial advisory transcends simple product recommendation; it demands an integrated approach combining rigorous analytical frameworks (fundamental valuation, technical timing), practical digital tool proficiency (calculators, portfolio platforms), regulatory compliance awareness, and empathetic client engagement skills. The ability to synthesise complex, multi-dimensional analysis into clear, actionable guidance — while remaining cognisant of behavioural biases that may distort both advisor and client judgement — represents the hallmark competency of effective investment professionals.</w:t>
        <w:br/>
        <w:br/>
        <w:t>The literature reviewed in this report corroborates the experiential findings: digital tools enhance financial literacy and decision quality (Gomber et al., 2018; Gupta &amp; Sharma, 2023), integrated fundamental-technical approaches outperform siloed methodologies (Nazario et al., 2017; Nti et al., 2020), and automated advisory technologies reduce but do not eliminate behavioural biases (D'Acunto et al., 2019). These academic insights, combined with direct practical experience, provide a well-rounded perspective on the current state and future trajectory of investment advisory practice in India.</w:t>
        <w:br/>
        <w:br/>
        <w:t>In summation, the internship achieved its core objectives of developing practical analytical competency, fostering regulatory and ethical awareness, building client-facing professional skills, and establishing the technological proficiency necessary to deliver value in an increasingly digital financial services ecosystem.</w:t>
      </w:r>
    </w:p>
    <w:p>
      <w:r>
        <w:br w:type="page"/>
      </w:r>
    </w:p>
    <w:p>
      <w:pPr>
        <w:pStyle w:val="Heading1"/>
      </w:pPr>
      <w:r>
        <w:rPr>
          <w:rFonts w:ascii="Times New Roman" w:hAnsi="Times New Roman"/>
        </w:rPr>
        <w:t>References (APA Style)</w:t>
      </w:r>
    </w:p>
    <w:p>
      <w:pPr>
        <w:jc w:val="left"/>
      </w:pPr>
      <w:r>
        <w:rPr>
          <w:rFonts w:ascii="Times New Roman" w:hAnsi="Times New Roman"/>
          <w:b w:val="0"/>
          <w:i w:val="0"/>
          <w:sz w:val="24"/>
        </w:rPr>
        <w:t>Anshari, M., Almunawar, M. N., Masri, M., &amp; Hamdan, M. (2019). Digital Marketplace and FinTech to Support Agriculture Sustainability. Energy Procedia, 156, 234–238.</w:t>
      </w:r>
    </w:p>
    <w:p>
      <w:pPr>
        <w:jc w:val="left"/>
      </w:pPr>
      <w:r>
        <w:rPr>
          <w:rFonts w:ascii="Times New Roman" w:hAnsi="Times New Roman"/>
          <w:b w:val="0"/>
          <w:i w:val="0"/>
          <w:sz w:val="24"/>
        </w:rPr>
        <w:t>Baker, H. K., Kumar, S., Goyal, N., &amp; Gaur, V. (2019). How Financial Literacy and Demographic Variables Relate to Behavioral Biases. Managerial Finance, 45(1), 124–146.</w:t>
      </w:r>
    </w:p>
    <w:p>
      <w:pPr>
        <w:jc w:val="left"/>
      </w:pPr>
      <w:r>
        <w:rPr>
          <w:rFonts w:ascii="Times New Roman" w:hAnsi="Times New Roman"/>
          <w:b w:val="0"/>
          <w:i w:val="0"/>
          <w:sz w:val="24"/>
        </w:rPr>
        <w:t>Brunel, J. L. P. (2020). Goals-Based Wealth Management in Practice. Journal of Wealth Management, 23(1), 15–30.</w:t>
      </w:r>
    </w:p>
    <w:p>
      <w:pPr>
        <w:jc w:val="left"/>
      </w:pPr>
      <w:r>
        <w:rPr>
          <w:rFonts w:ascii="Times New Roman" w:hAnsi="Times New Roman"/>
          <w:b w:val="0"/>
          <w:i w:val="0"/>
          <w:sz w:val="24"/>
        </w:rPr>
        <w:t>D'Acunto, F., Prabhala, N., &amp; Rossi, A. G. (2019). The Promises and Pitfalls of Robo-Advising. The Review of Financial Studies, 32(5), 1983–2020.</w:t>
      </w:r>
    </w:p>
    <w:p>
      <w:pPr>
        <w:jc w:val="left"/>
      </w:pPr>
      <w:r>
        <w:rPr>
          <w:rFonts w:ascii="Times New Roman" w:hAnsi="Times New Roman"/>
          <w:b w:val="0"/>
          <w:i w:val="0"/>
          <w:sz w:val="24"/>
        </w:rPr>
        <w:t>Gomber, P., Kauffman, R. J., Parker, C., &amp; Weber, B. W. (2018). On the Fintech Revolution: Interpreting the Forces of Innovation, Disruption, and Transformation in Financial Services. Journal of Management Information Systems, 35(1), 220–265.</w:t>
      </w:r>
    </w:p>
    <w:p>
      <w:pPr>
        <w:jc w:val="left"/>
      </w:pPr>
      <w:r>
        <w:rPr>
          <w:rFonts w:ascii="Times New Roman" w:hAnsi="Times New Roman"/>
          <w:b w:val="0"/>
          <w:i w:val="0"/>
          <w:sz w:val="24"/>
        </w:rPr>
        <w:t>Gupta, R., &amp; Sharma, A. (2023). Digital Investment Platforms and Retail Investor Behaviour in India. International Journal of Financial Studies, 11(3), 89–105.</w:t>
      </w:r>
    </w:p>
    <w:p>
      <w:pPr>
        <w:jc w:val="left"/>
      </w:pPr>
      <w:r>
        <w:rPr>
          <w:rFonts w:ascii="Times New Roman" w:hAnsi="Times New Roman"/>
          <w:b w:val="0"/>
          <w:i w:val="0"/>
          <w:sz w:val="24"/>
        </w:rPr>
        <w:t>Kritzman, M., Page, S., &amp; Turkington, D. (2020). A Practitioner's Guide to Asset Allocation. Journal of Portfolio Management, 46(4), 7–20.</w:t>
      </w:r>
    </w:p>
    <w:p>
      <w:pPr>
        <w:jc w:val="left"/>
      </w:pPr>
      <w:r>
        <w:rPr>
          <w:rFonts w:ascii="Times New Roman" w:hAnsi="Times New Roman"/>
          <w:b w:val="0"/>
          <w:i w:val="0"/>
          <w:sz w:val="24"/>
        </w:rPr>
        <w:t>Nazario, R. T. F., Silva, J. L., Sobreiro, V. A., &amp; Kimura, H. (2017). A Literature Review of Technical Analysis on Stock Markets. The Quarterly Review of Economics and Finance, 66, 115–126.</w:t>
      </w:r>
    </w:p>
    <w:p>
      <w:pPr>
        <w:jc w:val="left"/>
      </w:pPr>
      <w:r>
        <w:rPr>
          <w:rFonts w:ascii="Times New Roman" w:hAnsi="Times New Roman"/>
          <w:b w:val="0"/>
          <w:i w:val="0"/>
          <w:sz w:val="24"/>
        </w:rPr>
        <w:t>Nti, I. K., Adekoya, A. F., &amp; Weyori, B. A. (2020). A Systematic Review of Fundamental and Technical Analysis of Stock Market Predictions. Artificial Intelligence Review, 53(4), 3007–3057.</w:t>
      </w:r>
    </w:p>
    <w:p>
      <w:pPr>
        <w:jc w:val="left"/>
      </w:pPr>
      <w:r>
        <w:rPr>
          <w:rFonts w:ascii="Times New Roman" w:hAnsi="Times New Roman"/>
          <w:b w:val="0"/>
          <w:i w:val="0"/>
          <w:sz w:val="24"/>
        </w:rPr>
        <w:t>Shanmugham, R., &amp; Ramya, K. (2021). Digital Transformation in Indian Financial Advisory Services: Opportunities and Challenges. International Journal of Financial Services Management, 11(2), 145–163.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