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PHANTOM: CAUSAL ATTRIBUTION OF RUNTIME SBOM DRIFT VIA eBPF BEHAVIORAL CONTRACTS IN KUBERNETES</w:t>
      </w:r>
    </w:p>
    <w:p>
      <w:pPr>
        <w:pStyle w:val="BodyText"/>
      </w:pPr>
      <w:r>
        <w:t xml:space="preserve">Submitted in partial fulfillment of the requirements for the degree of</w:t>
      </w:r>
      <w:r>
        <w:br/>
      </w:r>
      <w:r>
        <w:rPr>
          <w:b/>
          <w:bCs/>
        </w:rPr>
        <w:t xml:space="preserve">Bachelor of Technology</w:t>
      </w:r>
      <w:r>
        <w:t xml:space="preserve"> in Computer Science and Engineering</w:t>
      </w:r>
      <w:r>
        <w:br/>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Register Number</w:t>
            </w:r>
          </w:p>
        </w:tc>
        <w:tc>
          <w:tcPr/>
          <w:p>
            <w:pPr>
              <w:pStyle w:val="Compact"/>
              <w:jc w:val="left"/>
            </w:pPr>
            <w:r>
              <w:rPr>
                <w:b/>
                <w:bCs/>
              </w:rPr>
              <w:t xml:space="preserve">Student Name and Email</w:t>
            </w:r>
          </w:p>
        </w:tc>
      </w:tr>
      <w:tr>
        <w:tc>
          <w:tcPr/>
          <w:p>
            <w:pPr>
              <w:pStyle w:val="Compact"/>
              <w:jc w:val="left"/>
            </w:pPr>
            <w:r>
              <w:t xml:space="preserve">23BDS0078</w:t>
            </w:r>
          </w:p>
        </w:tc>
        <w:tc>
          <w:tcPr/>
          <w:p>
            <w:pPr>
              <w:pStyle w:val="Compact"/>
              <w:jc w:val="left"/>
            </w:pPr>
            <w:r>
              <w:rPr>
                <w:b/>
                <w:bCs/>
              </w:rPr>
              <w:t xml:space="preserve">HARSH RANJAN</w:t>
            </w:r>
          </w:p>
        </w:tc>
      </w:tr>
      <w:tr>
        <w:tc>
          <w:tcPr/>
          <w:p>
            <w:pPr>
              <w:pStyle w:val="Compact"/>
              <w:jc w:val="left"/>
            </w:pPr>
            <w:r>
              <w:rPr>
                <w:rStyle w:val="VerbatimChar"/>
              </w:rPr>
              <w:t xml:space="preserve">harsh.ranjan2023@vitstudent.ac.in</w:t>
            </w:r>
          </w:p>
        </w:tc>
        <w:tc>
          <w:tcPr/>
          <w:p>
            <w:pPr>
              <w:pStyle w:val="Compact"/>
            </w:pPr>
          </w:p>
        </w:tc>
      </w:tr>
      <w:tr>
        <w:tc>
          <w:tcPr/>
          <w:p>
            <w:pPr>
              <w:pStyle w:val="Compact"/>
              <w:jc w:val="left"/>
            </w:pPr>
            <w:r>
              <w:t xml:space="preserve">23BDS0191</w:t>
            </w:r>
          </w:p>
        </w:tc>
        <w:tc>
          <w:tcPr/>
          <w:p>
            <w:pPr>
              <w:pStyle w:val="Compact"/>
              <w:jc w:val="left"/>
            </w:pPr>
            <w:r>
              <w:rPr>
                <w:b/>
                <w:bCs/>
              </w:rPr>
              <w:t xml:space="preserve">JAI GOEL</w:t>
            </w:r>
          </w:p>
        </w:tc>
      </w:tr>
      <w:tr>
        <w:tc>
          <w:tcPr/>
          <w:p>
            <w:pPr>
              <w:pStyle w:val="Compact"/>
              <w:jc w:val="left"/>
            </w:pPr>
            <w:r>
              <w:rPr>
                <w:rStyle w:val="VerbatimChar"/>
              </w:rPr>
              <w:t xml:space="preserve">jai.goel2023@vitstudent.ac.in</w:t>
            </w:r>
          </w:p>
        </w:tc>
        <w:tc>
          <w:tcPr/>
          <w:p>
            <w:pPr>
              <w:pStyle w:val="Compact"/>
            </w:pPr>
          </w:p>
        </w:tc>
      </w:tr>
    </w:tbl>
    <w:p>
      <w:pPr>
        <w:pStyle w:val="BodyText"/>
      </w:pPr>
      <w:r>
        <w:br/>
      </w:r>
      <w:r>
        <w:t xml:space="preserve">Under the Supervision of</w:t>
      </w:r>
      <w:r>
        <w:br/>
      </w:r>
      <w:r>
        <w:rPr>
          <w:b/>
          <w:bCs/>
        </w:rPr>
        <w:t xml:space="preserve">Dr. THANUJA R</w:t>
      </w:r>
      <w:r>
        <w:br/>
      </w:r>
      <w:r>
        <w:rPr>
          <w:rStyle w:val="VerbatimChar"/>
        </w:rPr>
        <w:t xml:space="preserve">thanuja.r@vit.ac.in</w:t>
      </w:r>
      <w:r>
        <w:br/>
      </w:r>
      <w:r>
        <w:t xml:space="preserve">Vellore Institute of Technology</w:t>
      </w:r>
      <w:r>
        <w:br/>
      </w:r>
      <w:r>
        <w:t xml:space="preserve">School of Computer Science and Engineering (SCOPE)</w:t>
      </w:r>
      <w:r>
        <w:t xml:space="preserve"> </w:t>
      </w:r>
      <w:r>
        <w:t xml:space="preserve">image</w:t>
      </w:r>
    </w:p>
    <w:bookmarkStart w:id="20" w:name="declaration"/>
    <w:p>
      <w:pPr>
        <w:pStyle w:val="Heading1"/>
      </w:pPr>
      <w:r>
        <w:t xml:space="preserve">Declaration</w:t>
      </w:r>
    </w:p>
    <w:p>
      <w:pPr>
        <w:pStyle w:val="FirstParagraph"/>
      </w:pPr>
      <w:r>
        <w:t xml:space="preserve">We hereby declare that the project entitled</w:t>
      </w:r>
      <w:r>
        <w:t xml:space="preserve"> </w:t>
      </w:r>
      <w:r>
        <w:rPr>
          <w:i/>
          <w:iCs/>
        </w:rPr>
        <w:t xml:space="preserve">PHANTOM: Causal Attribution of Runtime SBOM Drift via eBPF Behavioral Contracts in Kubernetes</w:t>
      </w:r>
      <w:r>
        <w:t xml:space="preserve">, submitted for the award of the degree of Bachelor of Technology in Computer Science and Engineering to Vellore Institute of Technology, is a record of project work carried out under the supervision of Dr. Thanuja R. The technical statements and results in this report are limited to the source code and records identified in the report. This work has not been submitted in whole or in part for another degree or diploma.</w:t>
      </w:r>
    </w:p>
    <w:p>
      <w:pPr>
        <w:pStyle w:val="BodyText"/>
      </w:pPr>
      <w:r>
        <w:t xml:space="preserve">Place: Vellore Date: October 2026</w:t>
      </w:r>
      <w:r>
        <w:br/>
      </w:r>
    </w:p>
    <w:tbl>
      <w:tblPr>
        <w:tblStyle w:val="Table"/>
        <w:tblW w:type="auto" w:w="0"/>
        <w:tblLook w:firstRow="0" w:lastRow="0" w:firstColumn="0" w:lastColumn="0" w:noHBand="0" w:noVBand="0" w:val="0000"/>
      </w:tblPr>
      <w:tblGrid>
        <w:gridCol w:w="3960"/>
        <w:gridCol w:w="3960"/>
      </w:tblGrid>
      <w:tr>
        <w:tc>
          <w:tcPr/>
          <w:p>
            <w:pPr>
              <w:pStyle w:val="Compact"/>
            </w:pPr>
          </w:p>
        </w:tc>
        <w:tc>
          <w:tcPr/>
          <w:p>
            <w:pPr>
              <w:pStyle w:val="Compact"/>
            </w:pPr>
          </w:p>
        </w:tc>
      </w:tr>
      <w:tr>
        <w:tc>
          <w:tcPr/>
          <w:p>
            <w:pPr>
              <w:pStyle w:val="Compact"/>
              <w:jc w:val="left"/>
            </w:pPr>
            <w:r>
              <w:t xml:space="preserve">Harsh Ranjan</w:t>
            </w:r>
          </w:p>
        </w:tc>
        <w:tc>
          <w:tcPr/>
          <w:p>
            <w:pPr>
              <w:pStyle w:val="Compact"/>
              <w:jc w:val="left"/>
            </w:pPr>
            <w:r>
              <w:t xml:space="preserve">Jai Goel</w:t>
            </w:r>
          </w:p>
        </w:tc>
      </w:tr>
    </w:tbl>
    <w:bookmarkEnd w:id="20"/>
    <w:bookmarkStart w:id="21" w:name="certificate"/>
    <w:p>
      <w:pPr>
        <w:pStyle w:val="Heading1"/>
      </w:pPr>
      <w:r>
        <w:t xml:space="preserve">Certificate</w:t>
      </w:r>
    </w:p>
    <w:p>
      <w:pPr>
        <w:pStyle w:val="FirstParagraph"/>
      </w:pPr>
      <w:r>
        <w:t xml:space="preserve">This is to certify that the project entitled</w:t>
      </w:r>
      <w:r>
        <w:t xml:space="preserve"> </w:t>
      </w:r>
      <w:r>
        <w:rPr>
          <w:i/>
          <w:iCs/>
        </w:rPr>
        <w:t xml:space="preserve">PHANTOM: Causal Attribution of Runtime SBOM Drift via eBPF Behavioral Contracts in Kubernetes</w:t>
      </w:r>
      <w:r>
        <w:t xml:space="preserve">, submitted by Harsh Ranjan and Jai Goel, School of Computer Science and Engineering, Vellore Institute of Technology, is a record of project work carried out under my supervision. This report describes the current research prototype and distinguishes implemented software from results that remain experimentally unverified.</w:t>
      </w:r>
    </w:p>
    <w:p>
      <w:pPr>
        <w:pStyle w:val="BodyText"/>
      </w:pPr>
      <w:r>
        <w:t xml:space="preserve">Place: Vellore Date:</w:t>
      </w:r>
    </w:p>
    <w:p>
      <w:r>
        <w:pict>
          <v:rect style="width:0;height:1.5pt" o:hralign="center" o:hrstd="t" o:hr="t"/>
        </w:pict>
      </w:r>
    </w:p>
    <w:p>
      <w:pPr>
        <w:pStyle w:val="FirstParagraph"/>
      </w:pPr>
      <w:r>
        <w:br/>
      </w:r>
    </w:p>
    <w:p>
      <w:pPr>
        <w:pStyle w:val="BodyText"/>
      </w:pPr>
      <w:r>
        <w:br/>
      </w:r>
      <w:r>
        <w:t xml:space="preserve">Signature of the Guide</w:t>
      </w:r>
      <w:r>
        <w:br/>
      </w:r>
      <w:r>
        <w:t xml:space="preserve">Dr. Thanuja R</w:t>
      </w:r>
    </w:p>
    <w:bookmarkEnd w:id="21"/>
    <w:bookmarkStart w:id="22" w:name="acknowledgements"/>
    <w:p>
      <w:pPr>
        <w:pStyle w:val="Heading1"/>
      </w:pPr>
      <w:r>
        <w:t xml:space="preserve">Acknowledgements</w:t>
      </w:r>
    </w:p>
    <w:p>
      <w:pPr>
        <w:pStyle w:val="FirstParagraph"/>
      </w:pPr>
      <w:r>
        <w:t xml:space="preserve">We acknowledge the academic supervision of Dr. Thanuja R and the facilities of Vellore Institute of Technology that supported this Project-I work. We also acknowledge the maintainers of the open-source projects and research tools referenced in this report. The project artifacts were reviewed to distinguish implemented components from claims that still require controlled evaluation.</w:t>
      </w:r>
    </w:p>
    <w:p>
      <w:pPr>
        <w:pStyle w:val="BodyText"/>
      </w:pPr>
      <w:r>
        <w:t xml:space="preserve">Harsh Ranjan</w:t>
      </w:r>
      <w:r>
        <w:br/>
      </w:r>
      <w:r>
        <w:t xml:space="preserve">Jai Goel</w:t>
      </w:r>
    </w:p>
    <w:bookmarkEnd w:id="22"/>
    <w:bookmarkStart w:id="23" w:name="list-of-abbreviations"/>
    <w:p>
      <w:pPr>
        <w:pStyle w:val="Heading1"/>
      </w:pPr>
      <w:r>
        <w:t xml:space="preserve">List of Abbreviations</w:t>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ATE</w:t>
            </w:r>
          </w:p>
        </w:tc>
        <w:tc>
          <w:tcPr/>
          <w:p>
            <w:pPr>
              <w:pStyle w:val="Compact"/>
              <w:jc w:val="left"/>
            </w:pPr>
            <w:r>
              <w:t xml:space="preserve">Average Treatment Effect</w:t>
            </w:r>
          </w:p>
        </w:tc>
      </w:tr>
      <w:tr>
        <w:tc>
          <w:tcPr/>
          <w:p>
            <w:pPr>
              <w:pStyle w:val="Compact"/>
              <w:jc w:val="left"/>
            </w:pPr>
            <w:r>
              <w:t xml:space="preserve">BDG</w:t>
            </w:r>
          </w:p>
        </w:tc>
        <w:tc>
          <w:tcPr/>
          <w:p>
            <w:pPr>
              <w:pStyle w:val="Compact"/>
              <w:jc w:val="left"/>
            </w:pPr>
            <w:r>
              <w:t xml:space="preserve">Behavioral Dependency Graph</w:t>
            </w:r>
          </w:p>
        </w:tc>
      </w:tr>
      <w:tr>
        <w:tc>
          <w:tcPr/>
          <w:p>
            <w:pPr>
              <w:pStyle w:val="Compact"/>
              <w:jc w:val="left"/>
            </w:pPr>
            <w:r>
              <w:t xml:space="preserve">BIC</w:t>
            </w:r>
          </w:p>
        </w:tc>
        <w:tc>
          <w:tcPr/>
          <w:p>
            <w:pPr>
              <w:pStyle w:val="Compact"/>
              <w:jc w:val="left"/>
            </w:pPr>
            <w:r>
              <w:t xml:space="preserve">Bayesian Information Criterion</w:t>
            </w:r>
          </w:p>
        </w:tc>
      </w:tr>
      <w:tr>
        <w:tc>
          <w:tcPr/>
          <w:p>
            <w:pPr>
              <w:pStyle w:val="Compact"/>
              <w:jc w:val="left"/>
            </w:pPr>
            <w:r>
              <w:t xml:space="preserve">CO-RE</w:t>
            </w:r>
          </w:p>
        </w:tc>
        <w:tc>
          <w:tcPr/>
          <w:p>
            <w:pPr>
              <w:pStyle w:val="Compact"/>
              <w:jc w:val="left"/>
            </w:pPr>
            <w:r>
              <w:t xml:space="preserve">Compile Once – Run Everywhere</w:t>
            </w:r>
          </w:p>
        </w:tc>
      </w:tr>
      <w:tr>
        <w:tc>
          <w:tcPr/>
          <w:p>
            <w:pPr>
              <w:pStyle w:val="Compact"/>
              <w:jc w:val="left"/>
            </w:pPr>
            <w:r>
              <w:t xml:space="preserve">eBPF</w:t>
            </w:r>
          </w:p>
        </w:tc>
        <w:tc>
          <w:tcPr/>
          <w:p>
            <w:pPr>
              <w:pStyle w:val="Compact"/>
              <w:jc w:val="left"/>
            </w:pPr>
            <w:r>
              <w:t xml:space="preserve">Extended Berkeley Packet Filter</w:t>
            </w:r>
          </w:p>
        </w:tc>
      </w:tr>
      <w:tr>
        <w:tc>
          <w:tcPr/>
          <w:p>
            <w:pPr>
              <w:pStyle w:val="Compact"/>
              <w:jc w:val="left"/>
            </w:pPr>
            <w:r>
              <w:t xml:space="preserve">ECE</w:t>
            </w:r>
          </w:p>
        </w:tc>
        <w:tc>
          <w:tcPr/>
          <w:p>
            <w:pPr>
              <w:pStyle w:val="Compact"/>
              <w:jc w:val="left"/>
            </w:pPr>
            <w:r>
              <w:t xml:space="preserve">Expected Calibration Error</w:t>
            </w:r>
          </w:p>
        </w:tc>
      </w:tr>
      <w:tr>
        <w:tc>
          <w:tcPr/>
          <w:p>
            <w:pPr>
              <w:pStyle w:val="Compact"/>
              <w:jc w:val="left"/>
            </w:pPr>
            <w:r>
              <w:t xml:space="preserve">FPR</w:t>
            </w:r>
          </w:p>
        </w:tc>
        <w:tc>
          <w:tcPr/>
          <w:p>
            <w:pPr>
              <w:pStyle w:val="Compact"/>
              <w:jc w:val="left"/>
            </w:pPr>
            <w:r>
              <w:t xml:space="preserve">False-Positive Rate</w:t>
            </w:r>
          </w:p>
        </w:tc>
      </w:tr>
      <w:tr>
        <w:tc>
          <w:tcPr/>
          <w:p>
            <w:pPr>
              <w:pStyle w:val="Compact"/>
              <w:jc w:val="left"/>
            </w:pPr>
            <w:r>
              <w:t xml:space="preserve">IMA</w:t>
            </w:r>
          </w:p>
        </w:tc>
        <w:tc>
          <w:tcPr/>
          <w:p>
            <w:pPr>
              <w:pStyle w:val="Compact"/>
              <w:jc w:val="left"/>
            </w:pPr>
            <w:r>
              <w:t xml:space="preserve">Integrity Measurement Architecture</w:t>
            </w:r>
          </w:p>
        </w:tc>
      </w:tr>
      <w:tr>
        <w:tc>
          <w:tcPr/>
          <w:p>
            <w:pPr>
              <w:pStyle w:val="Compact"/>
              <w:jc w:val="left"/>
            </w:pPr>
            <w:r>
              <w:t xml:space="preserve">KL</w:t>
            </w:r>
          </w:p>
        </w:tc>
        <w:tc>
          <w:tcPr/>
          <w:p>
            <w:pPr>
              <w:pStyle w:val="Compact"/>
              <w:jc w:val="left"/>
            </w:pPr>
            <w:r>
              <w:t xml:space="preserve">Kullback–Leibler Divergence</w:t>
            </w:r>
          </w:p>
        </w:tc>
      </w:tr>
      <w:tr>
        <w:tc>
          <w:tcPr/>
          <w:p>
            <w:pPr>
              <w:pStyle w:val="Compact"/>
              <w:jc w:val="left"/>
            </w:pPr>
            <w:r>
              <w:t xml:space="preserve">PCEPS</w:t>
            </w:r>
          </w:p>
        </w:tc>
        <w:tc>
          <w:tcPr/>
          <w:p>
            <w:pPr>
              <w:pStyle w:val="Compact"/>
              <w:jc w:val="left"/>
            </w:pPr>
            <w:r>
              <w:t xml:space="preserve">Predictive Compromise Exposure Probability Score (unvalidated prioritization score)</w:t>
            </w:r>
          </w:p>
        </w:tc>
      </w:tr>
      <w:tr>
        <w:tc>
          <w:tcPr/>
          <w:p>
            <w:pPr>
              <w:pStyle w:val="Compact"/>
              <w:jc w:val="left"/>
            </w:pPr>
            <w:r>
              <w:t xml:space="preserve">PURL</w:t>
            </w:r>
          </w:p>
        </w:tc>
        <w:tc>
          <w:tcPr/>
          <w:p>
            <w:pPr>
              <w:pStyle w:val="Compact"/>
              <w:jc w:val="left"/>
            </w:pPr>
            <w:r>
              <w:t xml:space="preserve">Package URL</w:t>
            </w:r>
          </w:p>
        </w:tc>
      </w:tr>
      <w:tr>
        <w:tc>
          <w:tcPr/>
          <w:p>
            <w:pPr>
              <w:pStyle w:val="Compact"/>
              <w:jc w:val="left"/>
            </w:pPr>
            <w:r>
              <w:t xml:space="preserve">RCA</w:t>
            </w:r>
          </w:p>
        </w:tc>
        <w:tc>
          <w:tcPr/>
          <w:p>
            <w:pPr>
              <w:pStyle w:val="Compact"/>
              <w:jc w:val="left"/>
            </w:pPr>
            <w:r>
              <w:t xml:space="preserve">Root-Cause Analysis</w:t>
            </w:r>
          </w:p>
        </w:tc>
      </w:tr>
      <w:tr>
        <w:tc>
          <w:tcPr/>
          <w:p>
            <w:pPr>
              <w:pStyle w:val="Compact"/>
              <w:jc w:val="left"/>
            </w:pPr>
            <w:r>
              <w:t xml:space="preserve">SBOM</w:t>
            </w:r>
          </w:p>
        </w:tc>
        <w:tc>
          <w:tcPr/>
          <w:p>
            <w:pPr>
              <w:pStyle w:val="Compact"/>
              <w:jc w:val="left"/>
            </w:pPr>
            <w:r>
              <w:t xml:space="preserve">Software Bill of Materials</w:t>
            </w:r>
          </w:p>
        </w:tc>
      </w:tr>
      <w:tr>
        <w:tc>
          <w:tcPr/>
          <w:p>
            <w:pPr>
              <w:pStyle w:val="Compact"/>
              <w:jc w:val="left"/>
            </w:pPr>
            <w:r>
              <w:t xml:space="preserve">SCM</w:t>
            </w:r>
          </w:p>
        </w:tc>
        <w:tc>
          <w:tcPr/>
          <w:p>
            <w:pPr>
              <w:pStyle w:val="Compact"/>
              <w:jc w:val="left"/>
            </w:pPr>
            <w:r>
              <w:t xml:space="preserve">Structural Causal Model</w:t>
            </w:r>
          </w:p>
        </w:tc>
      </w:tr>
    </w:tbl>
    <w:bookmarkEnd w:id="23"/>
    <w:bookmarkStart w:id="24" w:name="symbols-and-notations"/>
    <w:p>
      <w:pPr>
        <w:pStyle w:val="Heading1"/>
      </w:pPr>
      <w:r>
        <w:t xml:space="preserve">Symbols and Notations</w:t>
      </w:r>
    </w:p>
    <w:tbl>
      <w:tblPr>
        <w:tblStyle w:val="Table"/>
        <w:tblW w:type="auto" w:w="0"/>
        <w:tblLook w:firstRow="0" w:lastRow="0" w:firstColumn="0" w:lastColumn="0" w:noHBand="0" w:noVBand="0" w:val="0000"/>
      </w:tblPr>
      <w:tblGrid>
        <w:gridCol w:w="3960"/>
        <w:gridCol w:w="3960"/>
      </w:tblGrid>
      <w:tr>
        <w:tc>
          <w:tcPr/>
          <w:p>
            <w:pPr>
              <w:pStyle w:val="Compact"/>
              <w:jc w:val="left"/>
            </w:pPr>
            <m:oMath>
              <m:r>
                <m:t>G</m:t>
              </m:r>
              <m:r>
                <m:rPr>
                  <m:sty m:val="p"/>
                </m:rPr>
                <m:t>=</m:t>
              </m:r>
              <m:r>
                <m:rPr>
                  <m:sty m:val="p"/>
                </m:rPr>
                <m:t>(</m:t>
              </m:r>
              <m:r>
                <m:t>V</m:t>
              </m:r>
              <m:r>
                <m:rPr>
                  <m:sty m:val="p"/>
                </m:rPr>
                <m:t>,</m:t>
              </m:r>
              <m:r>
                <m:t>E</m:t>
              </m:r>
              <m:r>
                <m:rPr>
                  <m:sty m:val="p"/>
                </m:rPr>
                <m:t>)</m:t>
              </m:r>
            </m:oMath>
          </w:p>
        </w:tc>
        <w:tc>
          <w:tcPr/>
          <w:p>
            <w:pPr>
              <w:pStyle w:val="Compact"/>
              <w:jc w:val="left"/>
            </w:pPr>
            <w:r>
              <w:t xml:space="preserve">Typed Behavioral Dependency Graph</w:t>
            </w:r>
          </w:p>
        </w:tc>
      </w:tr>
      <w:tr>
        <w:tc>
          <w:tcPr/>
          <w:p>
            <w:pPr>
              <w:pStyle w:val="Compact"/>
              <w:jc w:val="left"/>
            </w:pPr>
            <m:oMath>
              <m:r>
                <m:rPr>
                  <m:sty m:val="p"/>
                </m:rPr>
                <m:t>Σ</m:t>
              </m:r>
            </m:oMath>
          </w:p>
        </w:tc>
        <w:tc>
          <w:tcPr/>
          <w:p>
            <w:pPr>
              <w:pStyle w:val="Compact"/>
              <w:jc w:val="left"/>
            </w:pPr>
            <w:r>
              <w:t xml:space="preserve">Behavioral token alphabet</w:t>
            </w:r>
          </w:p>
        </w:tc>
      </w:tr>
      <w:tr>
        <w:tc>
          <w:tcPr/>
          <w:p>
            <w:pPr>
              <w:pStyle w:val="Compact"/>
              <w:jc w:val="left"/>
            </w:pPr>
            <m:oMath>
              <m:r>
                <m:t>h</m:t>
              </m:r>
            </m:oMath>
          </w:p>
        </w:tc>
        <w:tc>
          <w:tcPr/>
          <w:p>
            <w:pPr>
              <w:pStyle w:val="Compact"/>
              <w:jc w:val="left"/>
            </w:pPr>
            <w:r>
              <w:t xml:space="preserve">Markov context</w:t>
            </w:r>
          </w:p>
        </w:tc>
      </w:tr>
      <w:tr>
        <w:tc>
          <w:tcPr/>
          <w:p>
            <w:pPr>
              <w:pStyle w:val="Compact"/>
              <w:jc w:val="left"/>
            </w:pPr>
            <m:oMath>
              <m:r>
                <m:t>N</m:t>
              </m:r>
            </m:oMath>
          </w:p>
        </w:tc>
        <w:tc>
          <w:tcPr/>
          <w:p>
            <w:pPr>
              <w:pStyle w:val="Compact"/>
              <w:jc w:val="left"/>
            </w:pPr>
            <w:r>
              <w:t xml:space="preserve">Number of training tokens</w:t>
            </w:r>
          </w:p>
        </w:tc>
      </w:tr>
      <w:tr>
        <w:tc>
          <w:tcPr/>
          <w:p>
            <w:pPr>
              <w:pStyle w:val="Compact"/>
              <w:jc w:val="left"/>
            </w:pPr>
            <m:oMath>
              <m:sSub>
                <m:e>
                  <m:r>
                    <m:t>K</m:t>
                  </m:r>
                </m:e>
                <m:sub>
                  <m:r>
                    <m:rPr>
                      <m:sty m:val="p"/>
                    </m:rPr>
                    <m:t>max</m:t>
                  </m:r>
                </m:sub>
              </m:sSub>
            </m:oMath>
          </w:p>
        </w:tc>
        <w:tc>
          <w:tcPr/>
          <w:p>
            <w:pPr>
              <w:pStyle w:val="Compact"/>
              <w:jc w:val="left"/>
            </w:pPr>
            <w:r>
              <w:t xml:space="preserve">Maximum candidate model order</w:t>
            </w:r>
          </w:p>
        </w:tc>
      </w:tr>
      <w:tr>
        <w:tc>
          <w:tcPr/>
          <w:p>
            <w:pPr>
              <w:pStyle w:val="Compact"/>
              <w:jc w:val="left"/>
            </w:pPr>
            <m:oMath>
              <m:sSub>
                <m:e>
                  <m:r>
                    <m:t>D</m:t>
                  </m:r>
                </m:e>
                <m:sub>
                  <m:r>
                    <m:rPr>
                      <m:sty m:val="p"/>
                    </m:rPr>
                    <m:t>K</m:t>
                  </m:r>
                  <m:r>
                    <m:rPr>
                      <m:sty m:val="p"/>
                    </m:rPr>
                    <m:t>L</m:t>
                  </m:r>
                </m:sub>
              </m:sSub>
            </m:oMath>
          </w:p>
        </w:tc>
        <w:tc>
          <w:tcPr/>
          <w:p>
            <w:pPr>
              <w:pStyle w:val="Compact"/>
              <w:jc w:val="left"/>
            </w:pPr>
            <w:r>
              <w:t xml:space="preserve">Conditional divergence score, in nats</w:t>
            </w:r>
          </w:p>
        </w:tc>
      </w:tr>
      <w:tr>
        <w:tc>
          <w:tcPr/>
          <w:p>
            <w:pPr>
              <w:pStyle w:val="Compact"/>
              <w:jc w:val="left"/>
            </w:pPr>
            <m:oMath>
              <m:r>
                <m:t>λ</m:t>
              </m:r>
              <m:r>
                <m:rPr>
                  <m:sty m:val="p"/>
                </m:rPr>
                <m:t>,</m:t>
              </m:r>
              <m:r>
                <m:rPr>
                  <m:sty m:val="p"/>
                </m:rPr>
                <m:t>Δ</m:t>
              </m:r>
            </m:oMath>
          </w:p>
        </w:tc>
        <w:tc>
          <w:tcPr/>
          <w:p>
            <w:pPr>
              <w:pStyle w:val="Compact"/>
              <w:jc w:val="left"/>
            </w:pPr>
            <w:r>
              <w:t xml:space="preserve">BDG decay parameter and time scale</w:t>
            </w:r>
          </w:p>
        </w:tc>
      </w:tr>
      <w:tr>
        <w:tc>
          <w:tcPr/>
          <w:p>
            <w:pPr>
              <w:pStyle w:val="Compact"/>
              <w:jc w:val="left"/>
            </w:pPr>
            <m:oMath>
              <m:sSub>
                <m:e>
                  <m:r>
                    <m:t>q</m:t>
                  </m:r>
                </m:e>
                <m:sub>
                  <m:r>
                    <m:t>e</m:t>
                  </m:r>
                </m:sub>
              </m:sSub>
            </m:oMath>
          </w:p>
        </w:tc>
        <w:tc>
          <w:tcPr/>
          <w:p>
            <w:pPr>
              <w:pStyle w:val="Compact"/>
              <w:jc w:val="left"/>
            </w:pPr>
            <w:r>
              <w:t xml:space="preserve">Incremental edge-evidence weight</w:t>
            </w:r>
          </w:p>
        </w:tc>
      </w:tr>
      <w:tr>
        <w:tc>
          <w:tcPr/>
          <w:p>
            <w:pPr>
              <w:pStyle w:val="Compact"/>
              <w:jc w:val="left"/>
            </w:pPr>
            <m:oMath>
              <m:r>
                <m:t>S</m:t>
              </m:r>
              <m:r>
                <m:rPr>
                  <m:sty m:val="p"/>
                </m:rPr>
                <m:t>,</m:t>
              </m:r>
              <m:r>
                <m:t>D</m:t>
              </m:r>
              <m:r>
                <m:rPr>
                  <m:sty m:val="p"/>
                </m:rPr>
                <m:t>,</m:t>
              </m:r>
              <m:r>
                <m:t>X</m:t>
              </m:r>
            </m:oMath>
          </w:p>
        </w:tc>
        <w:tc>
          <w:tcPr/>
          <w:p>
            <w:pPr>
              <w:pStyle w:val="Compact"/>
              <w:jc w:val="left"/>
            </w:pPr>
            <w:r>
              <w:t xml:space="preserve">Candidate treatment, drift outcome, and covariates</w:t>
            </w:r>
          </w:p>
        </w:tc>
      </w:tr>
    </w:tbl>
    <w:bookmarkEnd w:id="24"/>
    <w:bookmarkStart w:id="25" w:name="abstract"/>
    <w:p>
      <w:pPr>
        <w:pStyle w:val="Heading1"/>
      </w:pPr>
      <w:r>
        <w:t xml:space="preserve">Abstract</w:t>
      </w:r>
    </w:p>
    <w:p>
      <w:pPr>
        <w:pStyle w:val="FirstParagraph"/>
      </w:pPr>
      <w:r>
        <w:t xml:space="preserve">1.15</w:t>
      </w:r>
      <w:r>
        <w:t xml:space="preserve"> </w:t>
      </w:r>
      <w:r>
        <w:t xml:space="preserve">Cloud-native applications combine software components whose behavior may change after deployment. A software bill of materials (SBOM) records component inventory, while runtime monitors observe process, file, and network activity. Neither source alone establishes which component produced an event or whether a component change caused behavioral drift. This project studies PHANTOM, a research prototype connecting SBOM-facing identity and verification interfaces with eBPF runtime collection, variable-order Markov behavioral contracts, a time-decayed Behavioral Dependency Graph (BDG), a DoWhy causal-estimation pathway, an XGBoost-based PCEPS scoring path, and evidence reporting.</w:t>
      </w:r>
    </w:p>
    <w:p>
      <w:pPr>
        <w:pStyle w:val="BodyText"/>
      </w:pPr>
      <w:r>
        <w:t xml:space="preserve">The repository implements contract training with Bayesian Information Criterion (BIC) order selection, Laplace-smoothed transition probabilities, and Kullback–Leibler (KL) divergence scoring. It also contains typed graph updates, a temporal causal projection, explicit</w:t>
      </w:r>
      <w:r>
        <w:t xml:space="preserve"> </w:t>
      </w:r>
      <w:r>
        <w:rPr>
          <w:rStyle w:val="VerbatimChar"/>
        </w:rPr>
        <w:t xml:space="preserve">not_identifiable</w:t>
      </w:r>
      <w:r>
        <w:t xml:space="preserve"> </w:t>
      </w:r>
      <w:r>
        <w:t xml:space="preserve">outcomes, a 16-feature PCEPS pipeline, and report-generation services. These are implementation capabilities; they have not all been validated together in a live deployment. The drift scorer does not implement a calibrated alert threshold. The temporal ordering is a modeling assumption and does not establish causation. PCEPS model and calibration outputs were not present in the supplied experiment artifacts.</w:t>
      </w:r>
    </w:p>
    <w:p>
      <w:pPr>
        <w:pStyle w:val="BodyText"/>
      </w:pPr>
      <w:r>
        <w:t xml:space="preserve">The saved evaluation set contains nine records: six completed attacks across XZ-style backdoor and dependency-confusion scenarios, and three failed SolarWinds-style injections. Each completed run contains a recorded drift event. Injection-to-first-event latency has a mean of 15.74 seconds, median of 5.52 seconds, and linearly interpolated 95th percentile of 54.72 seconds. This is an event-presence result, not verified package-level detection accuracy. Event records lack resolved SBOM/PURL bindings and independent component-level ground truth. The evaluation also lacks valid benign controls and reproducible CPU, memory, and event-loss measurements. Therefore false-positive rates, causal attribution accuracy, predictive validity, and operational overhead cannot be established. This report documents the prototype, its evidence limits, and experiments needed to evaluate identity resolution, causal attribution, and risk prioritization under controlled conditions.</w:t>
      </w:r>
    </w:p>
    <w:p>
      <w:pPr>
        <w:pStyle w:val="BodyText"/>
      </w:pPr>
      <w:r>
        <w:rPr>
          <w:b/>
          <w:bCs/>
        </w:rPr>
        <w:t xml:space="preserve">Keywords:</w:t>
      </w:r>
      <w:r>
        <w:t xml:space="preserve"> </w:t>
      </w:r>
      <w:r>
        <w:t xml:space="preserve">software supply-chain security, Kubernetes, eBPF, runtime drift, SBOM, causal estimation, behavioral contracts.</w:t>
      </w:r>
    </w:p>
    <w:bookmarkEnd w:id="25"/>
    <w:bookmarkStart w:id="30" w:name="introduction"/>
    <w:p>
      <w:pPr>
        <w:pStyle w:val="Heading1"/>
      </w:pPr>
      <w:r>
        <w:t xml:space="preserve">Introduction</w:t>
      </w:r>
    </w:p>
    <w:bookmarkStart w:id="26" w:name="background"/>
    <w:p>
      <w:pPr>
        <w:pStyle w:val="Heading2"/>
      </w:pPr>
      <w:r>
        <w:t xml:space="preserve">Background</w:t>
      </w:r>
    </w:p>
    <w:p>
      <w:pPr>
        <w:pStyle w:val="FirstParagraph"/>
      </w:pPr>
      <w:r>
        <w:t xml:space="preserve">Cloud-native systems combine third-party packages, container images, build systems, and deployment configuration. Supply-chain incidents such as XZ Utils and SUNBURST show that a trusted distribution path can still produce behavior that warrants investigation [1]–[4]. An SBOM describes components at a point in a build or scan [10], [11], while runtime monitors observe operating-system events and may apply rules or policies [7]–[9]. Neither alone always links an event to the package responsible or establishes causation.</w:t>
      </w:r>
    </w:p>
    <w:bookmarkEnd w:id="26"/>
    <w:bookmarkStart w:id="27" w:name="motivation"/>
    <w:p>
      <w:pPr>
        <w:pStyle w:val="Heading2"/>
      </w:pPr>
      <w:r>
        <w:t xml:space="preserve">Motivation</w:t>
      </w:r>
    </w:p>
    <w:p>
      <w:pPr>
        <w:pStyle w:val="FirstParagraph"/>
      </w:pPr>
      <w:r>
        <w:t xml:space="preserve">A process event can be difficult to interpret when code is loaded from multiple packages or a package changes without changing its name. An inventory does not show what a deployed component did. PHANTOM studies how identity, runtime behavior, graph evidence, and explicit uncertainty can be combined without treating an association as causal proof.</w:t>
      </w:r>
    </w:p>
    <w:bookmarkEnd w:id="27"/>
    <w:bookmarkStart w:id="28" w:name="scope-of-the-project"/>
    <w:p>
      <w:pPr>
        <w:pStyle w:val="Heading2"/>
      </w:pPr>
      <w:r>
        <w:t xml:space="preserve">Scope of the Project</w:t>
      </w:r>
    </w:p>
    <w:p>
      <w:pPr>
        <w:pStyle w:val="FirstParagraph"/>
      </w:pPr>
      <w:r>
        <w:t xml:space="preserve">The project includes SBOM verification interfaces, eBPF event collection, image/PURL-scoped contracts, drift scoring, BDG maintenance, causal-estimation eligibility, PCEPS, and evidence reports. The saved evaluation supports only event presence and first-event latency. Component attribution, calibrated prediction, false-alarm behavior, and overhead remain unestablished.</w:t>
      </w:r>
    </w:p>
    <w:bookmarkEnd w:id="28"/>
    <w:bookmarkStart w:id="29" w:name="organization"/>
    <w:p>
      <w:pPr>
        <w:pStyle w:val="Heading2"/>
      </w:pPr>
      <w:r>
        <w:t xml:space="preserve">Organization</w:t>
      </w:r>
    </w:p>
    <w:p>
      <w:pPr>
        <w:pStyle w:val="FirstParagraph"/>
      </w:pPr>
      <w:r>
        <w:t xml:space="preserve">Chapter 2 describes goals and related work; Chapter 3 technical requirements; Chapter 4 design; Chapter 5 methodology and tests; Chapter 6 demonstration pathway; Chapter 7 results and discussion; Chapter 8 conclusion; Chapter 9 references.</w:t>
      </w:r>
    </w:p>
    <w:bookmarkEnd w:id="29"/>
    <w:bookmarkEnd w:id="30"/>
    <w:bookmarkStart w:id="37" w:name="project-description-and-goals"/>
    <w:p>
      <w:pPr>
        <w:pStyle w:val="Heading1"/>
      </w:pPr>
      <w:r>
        <w:t xml:space="preserve">Project Description and Goals</w:t>
      </w:r>
    </w:p>
    <w:bookmarkStart w:id="31" w:name="literature-review"/>
    <w:p>
      <w:pPr>
        <w:pStyle w:val="Heading2"/>
      </w:pPr>
      <w:r>
        <w:t xml:space="preserve">Literature Review</w:t>
      </w:r>
    </w:p>
    <w:p>
      <w:pPr>
        <w:pStyle w:val="FirstParagraph"/>
      </w:pPr>
      <w:r>
        <w:t xml:space="preserve">Falco, Tetragon, and Tracee provide runtime events, rules, policy enforcement, or forensic capabilities depending on configuration [7]–[9]. CycloneDX and NTIA guidance address inventory and exchange [10], [11]. Syft and Cosign provide SBOM generation and signing/verification tools [20], [21], [27]. Bomfather studies build-time eBPF dependency observation and SBOM generation [29]; eBPF/IMA work studies SBOM enforcement in Linux [30]. Runtime/SBOM integration alone is therefore not PHANTOM’s novelty. DoWhy is a general causal workflow [16]; applying it to runtime evidence depends on graph assumptions, treatment/outcome definitions, confounding control, and independent ground truth. Cloud incident RCA is adjacent work, but ranked explanations are not automatically intervention estimates [14], [15].</w:t>
      </w:r>
    </w:p>
    <w:bookmarkEnd w:id="31"/>
    <w:bookmarkStart w:id="32" w:name="research-gap"/>
    <w:p>
      <w:pPr>
        <w:pStyle w:val="Heading2"/>
      </w:pPr>
      <w:r>
        <w:t xml:space="preserve">Research Gap</w:t>
      </w:r>
    </w:p>
    <w:p>
      <w:pPr>
        <w:pStyle w:val="FirstParagraph"/>
      </w:pPr>
      <w:r>
        <w:t xml:space="preserve">PHANTOM asks whether runtime observations can be mapped to trusted package identities and whether an assumption-explicit temporal causal path supports better explanations than event presence or graph ranking. Current records cannot answer this because PURL bindings and component-level labels are missing.</w:t>
      </w:r>
    </w:p>
    <w:bookmarkEnd w:id="32"/>
    <w:bookmarkStart w:id="33" w:name="objectives"/>
    <w:p>
      <w:pPr>
        <w:pStyle w:val="Heading2"/>
      </w:pPr>
      <w:r>
        <w:t xml:space="preserve">Objectives</w:t>
      </w:r>
    </w:p>
    <w:p>
      <w:pPr>
        <w:numPr>
          <w:ilvl w:val="0"/>
          <w:numId w:val="1001"/>
        </w:numPr>
      </w:pPr>
      <w:r>
        <w:t xml:space="preserve">Verify SBOM and image identity inputs.</w:t>
      </w:r>
    </w:p>
    <w:p>
      <w:pPr>
        <w:numPr>
          <w:ilvl w:val="0"/>
          <w:numId w:val="1001"/>
        </w:numPr>
      </w:pPr>
      <w:r>
        <w:t xml:space="preserve">Train image/PURL-scoped behavioral contracts.</w:t>
      </w:r>
    </w:p>
    <w:p>
      <w:pPr>
        <w:numPr>
          <w:ilvl w:val="0"/>
          <w:numId w:val="1001"/>
        </w:numPr>
      </w:pPr>
      <w:r>
        <w:t xml:space="preserve">Calculate divergence and novelty without calling them probabilities.</w:t>
      </w:r>
    </w:p>
    <w:p>
      <w:pPr>
        <w:numPr>
          <w:ilvl w:val="0"/>
          <w:numId w:val="1001"/>
        </w:numPr>
      </w:pPr>
      <w:r>
        <w:t xml:space="preserve">Maintain a typed, time-decayed BDG.</w:t>
      </w:r>
    </w:p>
    <w:p>
      <w:pPr>
        <w:numPr>
          <w:ilvl w:val="0"/>
          <w:numId w:val="1001"/>
        </w:numPr>
      </w:pPr>
      <w:r>
        <w:t xml:space="preserve">Estimate causal effects only under implemented eligibility checks; otherwise abstain.</w:t>
      </w:r>
    </w:p>
    <w:p>
      <w:pPr>
        <w:numPr>
          <w:ilvl w:val="0"/>
          <w:numId w:val="1001"/>
        </w:numPr>
      </w:pPr>
      <w:r>
        <w:t xml:space="preserve">Score PCEPS only when trained artifacts are available.</w:t>
      </w:r>
    </w:p>
    <w:p>
      <w:pPr>
        <w:numPr>
          <w:ilvl w:val="0"/>
          <w:numId w:val="1001"/>
        </w:numPr>
      </w:pPr>
      <w:r>
        <w:t xml:space="preserve">Produce evidence-based reports and evaluate without overclaiming.</w:t>
      </w:r>
    </w:p>
    <w:bookmarkEnd w:id="33"/>
    <w:bookmarkStart w:id="34" w:name="problem-statement"/>
    <w:p>
      <w:pPr>
        <w:pStyle w:val="Heading2"/>
      </w:pPr>
      <w:r>
        <w:t xml:space="preserve">Problem Statement</w:t>
      </w:r>
    </w:p>
    <w:p>
      <w:pPr>
        <w:pStyle w:val="FirstParagraph"/>
      </w:pPr>
      <w:r>
        <w:t xml:space="preserve">Given a trusted SBOM, identified image, contract, and runtime observations, record supported deviations and associate them with a component only when identity evidence supports the mapping. Causal outputs must retain assumptions and abstain when eligibility checks fail. The saved evaluation does not resolve events to PURLs or include an independent attribution oracle.</w:t>
      </w:r>
    </w:p>
    <w:bookmarkEnd w:id="34"/>
    <w:bookmarkStart w:id="36" w:name="project-plan"/>
    <w:p>
      <w:pPr>
        <w:pStyle w:val="Heading2"/>
      </w:pPr>
      <w:r>
        <w:t xml:space="preserve">Project Plan</w:t>
      </w:r>
    </w:p>
    <w:bookmarkStart w:id="35" w:name="tab:plan"/>
    <w:p>
      <w:pPr>
        <w:pStyle w:val="TableCaption"/>
      </w:pPr>
      <w:r>
        <w:t xml:space="preserve">Project work status</w:t>
      </w:r>
    </w:p>
    <w:tbl>
      <w:tblPr>
        <w:tblStyle w:val="Table"/>
        <w:tblW w:type="auto" w:w="0"/>
        <w:tblLook w:firstRow="1" w:lastRow="0" w:firstColumn="0" w:lastColumn="0" w:noHBand="0" w:noVBand="0" w:val="0020"/>
        <w:tblCaption w:val="Project work status"/>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Evidence</w:t>
            </w:r>
          </w:p>
        </w:tc>
        <w:tc>
          <w:tcPr/>
          <w:p>
            <w:pPr>
              <w:pStyle w:val="Compact"/>
              <w:jc w:val="left"/>
            </w:pPr>
            <w:r>
              <w:t xml:space="preserve">Status / next action</w:t>
            </w:r>
          </w:p>
        </w:tc>
      </w:tr>
      <w:tr>
        <w:tc>
          <w:tcPr/>
          <w:p>
            <w:pPr>
              <w:pStyle w:val="Compact"/>
              <w:jc w:val="left"/>
            </w:pPr>
            <w:r>
              <w:t xml:space="preserve">Prototype</w:t>
            </w:r>
          </w:p>
        </w:tc>
        <w:tc>
          <w:tcPr/>
          <w:p>
            <w:pPr>
              <w:pStyle w:val="Compact"/>
              <w:jc w:val="left"/>
            </w:pPr>
            <w:r>
              <w:t xml:space="preserve">SBOM, eBPF, contract, graph, causal, scoring, gateway, reporting code</w:t>
            </w:r>
          </w:p>
        </w:tc>
        <w:tc>
          <w:tcPr/>
          <w:p>
            <w:pPr>
              <w:pStyle w:val="Compact"/>
              <w:jc w:val="left"/>
            </w:pPr>
            <w:r>
              <w:t xml:space="preserve">Implemented; selected unit paths tested</w:t>
            </w:r>
          </w:p>
        </w:tc>
      </w:tr>
      <w:tr>
        <w:tc>
          <w:tcPr/>
          <w:p>
            <w:pPr>
              <w:pStyle w:val="Compact"/>
              <w:jc w:val="left"/>
            </w:pPr>
            <w:r>
              <w:t xml:space="preserve">Initial evaluation</w:t>
            </w:r>
          </w:p>
        </w:tc>
        <w:tc>
          <w:tcPr/>
          <w:p>
            <w:pPr>
              <w:pStyle w:val="Compact"/>
              <w:jc w:val="left"/>
            </w:pPr>
            <w:r>
              <w:t xml:space="preserve">Six completed attacks; three failed injections</w:t>
            </w:r>
          </w:p>
        </w:tc>
        <w:tc>
          <w:tcPr/>
          <w:p>
            <w:pPr>
              <w:pStyle w:val="Compact"/>
              <w:jc w:val="left"/>
            </w:pPr>
            <w:r>
              <w:t xml:space="preserve">Event presence and latency; repair failed injections</w:t>
            </w:r>
          </w:p>
        </w:tc>
      </w:tr>
      <w:tr>
        <w:tc>
          <w:tcPr/>
          <w:p>
            <w:pPr>
              <w:pStyle w:val="Compact"/>
              <w:jc w:val="left"/>
            </w:pPr>
            <w:r>
              <w:t xml:space="preserve">Identity evaluation</w:t>
            </w:r>
          </w:p>
        </w:tc>
        <w:tc>
          <w:tcPr/>
          <w:p>
            <w:pPr>
              <w:pStyle w:val="Compact"/>
              <w:jc w:val="left"/>
            </w:pPr>
            <w:r>
              <w:t xml:space="preserve">Runtime identity ambiguous/unresolved</w:t>
            </w:r>
          </w:p>
        </w:tc>
        <w:tc>
          <w:tcPr/>
          <w:p>
            <w:pPr>
              <w:pStyle w:val="Compact"/>
              <w:jc w:val="left"/>
            </w:pPr>
            <w:r>
              <w:t xml:space="preserve">Collect independent process/container/PURL ground truth</w:t>
            </w:r>
          </w:p>
        </w:tc>
      </w:tr>
      <w:tr>
        <w:tc>
          <w:tcPr/>
          <w:p>
            <w:pPr>
              <w:pStyle w:val="Compact"/>
              <w:jc w:val="left"/>
            </w:pPr>
            <w:r>
              <w:t xml:space="preserve">Control evaluation</w:t>
            </w:r>
          </w:p>
        </w:tc>
        <w:tc>
          <w:tcPr/>
          <w:p>
            <w:pPr>
              <w:pStyle w:val="Compact"/>
              <w:jc w:val="left"/>
            </w:pPr>
            <w:r>
              <w:t xml:space="preserve">No valid benign raw3 controls</w:t>
            </w:r>
          </w:p>
        </w:tc>
        <w:tc>
          <w:tcPr/>
          <w:p>
            <w:pPr>
              <w:pStyle w:val="Compact"/>
              <w:jc w:val="left"/>
            </w:pPr>
            <w:r>
              <w:t xml:space="preserve">Run matched benign workload, update, load, restart controls</w:t>
            </w:r>
          </w:p>
        </w:tc>
      </w:tr>
      <w:tr>
        <w:tc>
          <w:tcPr/>
          <w:p>
            <w:pPr>
              <w:pStyle w:val="Compact"/>
              <w:jc w:val="left"/>
            </w:pPr>
            <w:r>
              <w:t xml:space="preserve">Prediction and overhead</w:t>
            </w:r>
          </w:p>
        </w:tc>
        <w:tc>
          <w:tcPr/>
          <w:p>
            <w:pPr>
              <w:pStyle w:val="Compact"/>
              <w:jc w:val="left"/>
            </w:pPr>
            <w:r>
              <w:t xml:space="preserve">No model evaluation or reliable resource samples</w:t>
            </w:r>
          </w:p>
        </w:tc>
        <w:tc>
          <w:tcPr/>
          <w:p>
            <w:pPr>
              <w:pStyle w:val="Compact"/>
              <w:jc w:val="left"/>
            </w:pPr>
            <w:r>
              <w:t xml:space="preserve">Evaluate held-out outcomes and collect telemetry</w:t>
            </w:r>
          </w:p>
        </w:tc>
      </w:tr>
    </w:tbl>
    <w:bookmarkEnd w:id="35"/>
    <w:bookmarkEnd w:id="36"/>
    <w:bookmarkEnd w:id="37"/>
    <w:bookmarkStart w:id="49" w:name="technical-specification"/>
    <w:p>
      <w:pPr>
        <w:pStyle w:val="Heading1"/>
      </w:pPr>
      <w:r>
        <w:t xml:space="preserve">Technical Specification</w:t>
      </w:r>
    </w:p>
    <w:bookmarkStart w:id="40" w:name="requirements"/>
    <w:p>
      <w:pPr>
        <w:pStyle w:val="Heading2"/>
      </w:pPr>
      <w:r>
        <w:t xml:space="preserve">Requirements</w:t>
      </w:r>
    </w:p>
    <w:bookmarkStart w:id="38" w:name="functional-requirements"/>
    <w:p>
      <w:pPr>
        <w:pStyle w:val="Heading3"/>
      </w:pPr>
      <w:r>
        <w:t xml:space="preserve">Functional Requirements</w:t>
      </w:r>
    </w:p>
    <w:p>
      <w:pPr>
        <w:pStyle w:val="FirstParagraph"/>
      </w:pPr>
      <w:r>
        <w:t xml:space="preserve">Accept an SBOM, image digest and signature evidence; receive supported runtime events; build scoped contracts; calculate conditional KL and novelty; update a graph idempotently with decayed edges; check causal inputs and return an estimate or</w:t>
      </w:r>
      <w:r>
        <w:t xml:space="preserve"> </w:t>
      </w:r>
      <w:r>
        <w:rPr>
          <w:rStyle w:val="VerbatimChar"/>
        </w:rPr>
        <w:t xml:space="preserve">not_identifiable</w:t>
      </w:r>
      <w:r>
        <w:t xml:space="preserve">; score PCEPS only with model/calibration; and report missing evidence.</w:t>
      </w:r>
    </w:p>
    <w:bookmarkEnd w:id="38"/>
    <w:bookmarkStart w:id="39" w:name="non-functional-requirements"/>
    <w:p>
      <w:pPr>
        <w:pStyle w:val="Heading3"/>
      </w:pPr>
      <w:r>
        <w:t xml:space="preserve">Non-Functional Requirements</w:t>
      </w:r>
    </w:p>
    <w:p>
      <w:pPr>
        <w:pStyle w:val="FirstParagraph"/>
      </w:pPr>
      <w:r>
        <w:t xml:space="preserve">The repository uses modular services and versioned JSON contracts. It should preserve provenance, handle duplicate events, expose missing fields, and avoid assigning unresolved processes to packages. The README lists Python 3.11+, Docker Compose, Terraform/Helm, and Linux CO-RE requirements. No production availability target or overhead bound is verified.</w:t>
      </w:r>
    </w:p>
    <w:bookmarkEnd w:id="39"/>
    <w:bookmarkEnd w:id="40"/>
    <w:bookmarkStart w:id="44" w:name="feasibility-study"/>
    <w:p>
      <w:pPr>
        <w:pStyle w:val="Heading2"/>
      </w:pPr>
      <w:r>
        <w:t xml:space="preserve">Feasibility Study</w:t>
      </w:r>
    </w:p>
    <w:bookmarkStart w:id="41" w:name="technical-feasibility"/>
    <w:p>
      <w:pPr>
        <w:pStyle w:val="Heading3"/>
      </w:pPr>
      <w:r>
        <w:t xml:space="preserve">Technical Feasibility</w:t>
      </w:r>
    </w:p>
    <w:p>
      <w:pPr>
        <w:pStyle w:val="FirstParagraph"/>
      </w:pPr>
      <w:r>
        <w:t xml:space="preserve">Service code and tests exist, and infrastructure definitions include AWS EKS. Raw experiment records lack complete kernel, Kubernetes, runtime, image-digest and source-commit details. The architecture is prototyped; reproducible end-to-end evaluation remains future work.</w:t>
      </w:r>
    </w:p>
    <w:bookmarkEnd w:id="41"/>
    <w:bookmarkStart w:id="42" w:name="economic-feasibility"/>
    <w:p>
      <w:pPr>
        <w:pStyle w:val="Heading3"/>
      </w:pPr>
      <w:r>
        <w:t xml:space="preserve">Economic Feasibility</w:t>
      </w:r>
    </w:p>
    <w:p>
      <w:pPr>
        <w:pStyle w:val="FirstParagraph"/>
      </w:pPr>
      <w:r>
        <w:t xml:space="preserve">No cloud invoices, instance-hour totals, licensing costs, or staff-time estimates were found. No numerical cost estimate is made. A future cost study should record compute, storage, monitoring, and cluster duration.</w:t>
      </w:r>
    </w:p>
    <w:bookmarkEnd w:id="42"/>
    <w:bookmarkStart w:id="43" w:name="social-feasibility"/>
    <w:p>
      <w:pPr>
        <w:pStyle w:val="Heading3"/>
      </w:pPr>
      <w:r>
        <w:t xml:space="preserve">Social Feasibility</w:t>
      </w:r>
    </w:p>
    <w:p>
      <w:pPr>
        <w:pStyle w:val="FirstParagraph"/>
      </w:pPr>
      <w:r>
        <w:t xml:space="preserve">Runtime telemetry may expose process and network metadata. A deployment should minimize collected fields, restrict access, and set retention limits. No production privacy assessment is available.</w:t>
      </w:r>
    </w:p>
    <w:bookmarkEnd w:id="43"/>
    <w:bookmarkEnd w:id="44"/>
    <w:bookmarkStart w:id="48" w:name="system-specification"/>
    <w:p>
      <w:pPr>
        <w:pStyle w:val="Heading2"/>
      </w:pPr>
      <w:r>
        <w:t xml:space="preserve">System Specification</w:t>
      </w:r>
    </w:p>
    <w:bookmarkStart w:id="45" w:name="hardware-specification"/>
    <w:p>
      <w:pPr>
        <w:pStyle w:val="Heading3"/>
      </w:pPr>
      <w:r>
        <w:t xml:space="preserve">Hardware Specification</w:t>
      </w:r>
    </w:p>
    <w:p>
      <w:pPr>
        <w:pStyle w:val="FirstParagraph"/>
      </w:pPr>
      <w:r>
        <w:t xml:space="preserve">Host type, CPU, memory, and kernel build for raw3 runs are</w:t>
      </w:r>
      <w:r>
        <w:t xml:space="preserve"> </w:t>
      </w:r>
      <w:r>
        <w:rPr>
          <w:i/>
          <w:iCs/>
        </w:rPr>
        <w:t xml:space="preserve">Not provided in the available project records</w:t>
      </w:r>
      <w:r>
        <w:t xml:space="preserve">. Zero-valued metric snapshots do not establish resource usage.</w:t>
      </w:r>
    </w:p>
    <w:bookmarkEnd w:id="45"/>
    <w:bookmarkStart w:id="47" w:name="software-specification"/>
    <w:p>
      <w:pPr>
        <w:pStyle w:val="Heading3"/>
      </w:pPr>
      <w:r>
        <w:t xml:space="preserve">Software Specification</w:t>
      </w:r>
    </w:p>
    <w:bookmarkStart w:id="46" w:name="tab:software"/>
    <w:p>
      <w:pPr>
        <w:pStyle w:val="TableCaption"/>
      </w:pPr>
      <w:r>
        <w:t xml:space="preserve">Environment facts in the repository</w:t>
      </w:r>
    </w:p>
    <w:tbl>
      <w:tblPr>
        <w:tblStyle w:val="Table"/>
        <w:tblW w:type="auto" w:w="0"/>
        <w:tblLook w:firstRow="1" w:lastRow="0" w:firstColumn="0" w:lastColumn="0" w:noHBand="0" w:noVBand="0" w:val="0020"/>
        <w:tblCaption w:val="Environment facts in the repository"/>
      </w:tblPr>
      <w:tblGrid>
        <w:gridCol w:w="3960"/>
        <w:gridCol w:w="3960"/>
      </w:tblGrid>
      <w:tr>
        <w:trPr>
          <w:tblHeader w:val="on"/>
        </w:trPr>
        <w:tc>
          <w:tcPr/>
          <w:p>
            <w:pPr>
              <w:pStyle w:val="Compact"/>
              <w:jc w:val="left"/>
            </w:pPr>
            <w:r>
              <w:t xml:space="preserve">Item</w:t>
            </w:r>
          </w:p>
        </w:tc>
        <w:tc>
          <w:tcPr/>
          <w:p>
            <w:pPr>
              <w:pStyle w:val="Compact"/>
              <w:jc w:val="left"/>
            </w:pPr>
            <w:r>
              <w:t xml:space="preserve">Available information</w:t>
            </w:r>
          </w:p>
        </w:tc>
      </w:tr>
      <w:tr>
        <w:tc>
          <w:tcPr/>
          <w:p>
            <w:pPr>
              <w:pStyle w:val="Compact"/>
              <w:jc w:val="left"/>
            </w:pPr>
            <w:r>
              <w:t xml:space="preserve">Language</w:t>
            </w:r>
          </w:p>
        </w:tc>
        <w:tc>
          <w:tcPr/>
          <w:p>
            <w:pPr>
              <w:pStyle w:val="Compact"/>
              <w:jc w:val="left"/>
            </w:pPr>
            <w:r>
              <w:t xml:space="preserve">Python 3.11+ README requirement; exact run version missing</w:t>
            </w:r>
          </w:p>
        </w:tc>
      </w:tr>
      <w:tr>
        <w:tc>
          <w:tcPr/>
          <w:p>
            <w:pPr>
              <w:pStyle w:val="Compact"/>
              <w:jc w:val="left"/>
            </w:pPr>
            <w:r>
              <w:t xml:space="preserve">Orchestration</w:t>
            </w:r>
          </w:p>
        </w:tc>
        <w:tc>
          <w:tcPr/>
          <w:p>
            <w:pPr>
              <w:pStyle w:val="Compact"/>
              <w:jc w:val="left"/>
            </w:pPr>
            <w:r>
              <w:t xml:space="preserve">Docker Compose, Terraform/Helm; EKS definitions present</w:t>
            </w:r>
          </w:p>
        </w:tc>
      </w:tr>
      <w:tr>
        <w:tc>
          <w:tcPr/>
          <w:p>
            <w:pPr>
              <w:pStyle w:val="Compact"/>
              <w:jc w:val="left"/>
            </w:pPr>
            <w:r>
              <w:t xml:space="preserve">Telemetry</w:t>
            </w:r>
          </w:p>
        </w:tc>
        <w:tc>
          <w:tcPr/>
          <w:p>
            <w:pPr>
              <w:pStyle w:val="Compact"/>
              <w:jc w:val="left"/>
            </w:pPr>
            <w:r>
              <w:t xml:space="preserve">Linux eBPF/CO-RE requirement; collector version missing</w:t>
            </w:r>
          </w:p>
        </w:tc>
      </w:tr>
      <w:tr>
        <w:tc>
          <w:tcPr/>
          <w:p>
            <w:pPr>
              <w:pStyle w:val="Compact"/>
              <w:jc w:val="left"/>
            </w:pPr>
            <w:r>
              <w:t xml:space="preserve">SBOM</w:t>
            </w:r>
          </w:p>
        </w:tc>
        <w:tc>
          <w:tcPr/>
          <w:p>
            <w:pPr>
              <w:pStyle w:val="Compact"/>
              <w:jc w:val="left"/>
            </w:pPr>
            <w:r>
              <w:t xml:space="preserve">CycloneDX and PURL support in code</w:t>
            </w:r>
          </w:p>
        </w:tc>
      </w:tr>
      <w:tr>
        <w:tc>
          <w:tcPr/>
          <w:p>
            <w:pPr>
              <w:pStyle w:val="Compact"/>
              <w:jc w:val="left"/>
            </w:pPr>
            <w:r>
              <w:t xml:space="preserve">Causal</w:t>
            </w:r>
          </w:p>
        </w:tc>
        <w:tc>
          <w:tcPr/>
          <w:p>
            <w:pPr>
              <w:pStyle w:val="Compact"/>
              <w:jc w:val="left"/>
            </w:pPr>
            <w:r>
              <w:t xml:space="preserve">DoWhy adapter; experiment version missing</w:t>
            </w:r>
          </w:p>
        </w:tc>
      </w:tr>
      <w:tr>
        <w:tc>
          <w:tcPr/>
          <w:p>
            <w:pPr>
              <w:pStyle w:val="Compact"/>
              <w:jc w:val="left"/>
            </w:pPr>
            <w:r>
              <w:t xml:space="preserve">PCEPS</w:t>
            </w:r>
          </w:p>
        </w:tc>
        <w:tc>
          <w:tcPr/>
          <w:p>
            <w:pPr>
              <w:pStyle w:val="Compact"/>
              <w:jc w:val="left"/>
            </w:pPr>
            <w:r>
              <w:t xml:space="preserve">XGBoost/Platt code; trained experiment model absent</w:t>
            </w:r>
          </w:p>
        </w:tc>
      </w:tr>
      <w:tr>
        <w:tc>
          <w:tcPr/>
          <w:p>
            <w:pPr>
              <w:pStyle w:val="Compact"/>
              <w:jc w:val="left"/>
            </w:pPr>
            <w:r>
              <w:t xml:space="preserve">Revision</w:t>
            </w:r>
          </w:p>
        </w:tc>
        <w:tc>
          <w:tcPr/>
          <w:p>
            <w:pPr>
              <w:pStyle w:val="Compact"/>
              <w:jc w:val="left"/>
            </w:pPr>
            <w:r>
              <w:t xml:space="preserve">Experiment commit not linked to runs</w:t>
            </w:r>
          </w:p>
        </w:tc>
      </w:tr>
    </w:tbl>
    <w:bookmarkEnd w:id="46"/>
    <w:bookmarkEnd w:id="47"/>
    <w:bookmarkEnd w:id="48"/>
    <w:bookmarkEnd w:id="49"/>
    <w:bookmarkStart w:id="61" w:name="design-approach-and-details"/>
    <w:p>
      <w:pPr>
        <w:pStyle w:val="Heading1"/>
      </w:pPr>
      <w:r>
        <w:t xml:space="preserve">Design Approach and Details</w:t>
      </w:r>
    </w:p>
    <w:bookmarkStart w:id="51" w:name="system-architecture"/>
    <w:p>
      <w:pPr>
        <w:pStyle w:val="Heading2"/>
      </w:pPr>
      <w:r>
        <w:t xml:space="preserve">System Architecture</w:t>
      </w:r>
    </w:p>
    <w:p>
      <w:pPr>
        <w:pStyle w:val="FirstParagraph"/>
      </w:pPr>
      <w:r>
        <w:t xml:space="preserve">Figure </w:t>
      </w:r>
      <w:hyperlink w:anchor="fig:arch">
        <w:r>
          <w:rPr>
            <w:rStyle w:val="Hyperlink"/>
          </w:rPr>
          <w:t xml:space="preserve">4.1</w:t>
        </w:r>
      </w:hyperlink>
      <w:r>
        <w:t xml:space="preserve"> </w:t>
      </w:r>
      <w:r>
        <w:t xml:space="preserve">is a repository-based logical design, not proof that every stage ran in the experiments.</w:t>
      </w:r>
    </w:p>
    <w:bookmarkStart w:id="50" w:name="fig:arch"/>
    <w:tbl>
      <w:tblPr>
        <w:tblStyle w:val="FigureTable"/>
        <w:tblW w:type="auto" w:w="0"/>
        <w:jc w:val="center"/>
        <w:tblLook w:firstRow="0" w:lastRow="0" w:firstColumn="0" w:lastColumn="0"/>
      </w:tblPr>
      <w:tblGrid/>
    </w:tbl>
    <w:p>
      <w:pPr>
        <w:pStyle w:val="ImageCaption"/>
      </w:pPr>
      <w:r>
        <w:t xml:space="preserve">Logical service architecture from repository modules</w:t>
      </w:r>
    </w:p>
    <w:bookmarkEnd w:id="50"/>
    <w:p>
      <w:pPr>
        <w:pStyle w:val="BodyText"/>
      </w:pPr>
      <w:r>
        <w:t xml:space="preserve">The gateway exposes operations to the analyst client; the report generator assembles evidence. Event-to-PURL mapping is an evidence boundary: identity that cannot be resolved must remain unresolved.</w:t>
      </w:r>
    </w:p>
    <w:bookmarkEnd w:id="51"/>
    <w:bookmarkStart w:id="60" w:name="design"/>
    <w:p>
      <w:pPr>
        <w:pStyle w:val="Heading2"/>
      </w:pPr>
      <w:r>
        <w:t xml:space="preserve">Design</w:t>
      </w:r>
    </w:p>
    <w:bookmarkStart w:id="53" w:name="data-flow-diagram"/>
    <w:p>
      <w:pPr>
        <w:pStyle w:val="Heading3"/>
      </w:pPr>
      <w:r>
        <w:t xml:space="preserve">Data Flow Diagram</w:t>
      </w:r>
    </w:p>
    <w:p>
      <w:pPr>
        <w:pStyle w:val="FirstParagraph"/>
      </w:pPr>
      <w:r>
        <w:t xml:space="preserve">Figure </w:t>
      </w:r>
      <w:hyperlink w:anchor="fig:flow">
        <w:r>
          <w:rPr>
            <w:rStyle w:val="Hyperlink"/>
          </w:rPr>
          <w:t xml:space="preserve">4.2</w:t>
        </w:r>
      </w:hyperlink>
      <w:r>
        <w:t xml:space="preserve"> </w:t>
      </w:r>
      <w:r>
        <w:t xml:space="preserve">summarizes the evidence gates.</w:t>
      </w:r>
    </w:p>
    <w:bookmarkStart w:id="52" w:name="fig:flow"/>
    <w:tbl>
      <w:tblPr>
        <w:tblStyle w:val="FigureTable"/>
        <w:tblW w:type="auto" w:w="0"/>
        <w:jc w:val="center"/>
        <w:tblLook w:firstRow="0" w:lastRow="0" w:firstColumn="0" w:lastColumn="0"/>
      </w:tblPr>
      <w:tblGrid/>
    </w:tbl>
    <w:p>
      <w:pPr>
        <w:pStyle w:val="ImageCaption"/>
      </w:pPr>
      <w:r>
        <w:t xml:space="preserve">Data flow and evidence gates</w:t>
      </w:r>
    </w:p>
    <w:bookmarkEnd w:id="52"/>
    <w:p>
      <w:pPr>
        <w:numPr>
          <w:ilvl w:val="0"/>
          <w:numId w:val="1002"/>
        </w:numPr>
      </w:pPr>
      <w:r>
        <w:t xml:space="preserve">Verify SBOM digest/signature.</w:t>
      </w:r>
    </w:p>
    <w:p>
      <w:pPr>
        <w:numPr>
          <w:ilvl w:val="0"/>
          <w:numId w:val="1002"/>
        </w:numPr>
      </w:pPr>
      <w:r>
        <w:t xml:space="preserve">Normalize supported events and resolve runtime identity.</w:t>
      </w:r>
    </w:p>
    <w:p>
      <w:pPr>
        <w:numPr>
          <w:ilvl w:val="0"/>
          <w:numId w:val="1002"/>
        </w:numPr>
      </w:pPr>
      <w:r>
        <w:t xml:space="preserve">Preserve unresolved identity where mapping evidence is missing.</w:t>
      </w:r>
    </w:p>
    <w:p>
      <w:pPr>
        <w:numPr>
          <w:ilvl w:val="0"/>
          <w:numId w:val="1002"/>
        </w:numPr>
      </w:pPr>
      <w:r>
        <w:t xml:space="preserve">Compare valid event windows with a contract using KL and novelty.</w:t>
      </w:r>
    </w:p>
    <w:p>
      <w:pPr>
        <w:numPr>
          <w:ilvl w:val="0"/>
          <w:numId w:val="1002"/>
        </w:numPr>
      </w:pPr>
      <w:r>
        <w:t xml:space="preserve">Update typed BDG evidence and temporal weights.</w:t>
      </w:r>
    </w:p>
    <w:p>
      <w:pPr>
        <w:numPr>
          <w:ilvl w:val="0"/>
          <w:numId w:val="1002"/>
        </w:numPr>
      </w:pPr>
      <w:r>
        <w:t xml:space="preserve">Check causal eligibility; estimate or return</w:t>
      </w:r>
      <w:r>
        <w:t xml:space="preserve"> </w:t>
      </w:r>
      <w:r>
        <w:rPr>
          <w:rStyle w:val="VerbatimChar"/>
        </w:rPr>
        <w:t xml:space="preserve">not_identifiable</w:t>
      </w:r>
      <w:r>
        <w:t xml:space="preserve">.</w:t>
      </w:r>
    </w:p>
    <w:p>
      <w:pPr>
        <w:numPr>
          <w:ilvl w:val="0"/>
          <w:numId w:val="1002"/>
        </w:numPr>
      </w:pPr>
      <w:r>
        <w:t xml:space="preserve">Score PCEPS only if model artifacts exist.</w:t>
      </w:r>
    </w:p>
    <w:p>
      <w:pPr>
        <w:numPr>
          <w:ilvl w:val="0"/>
          <w:numId w:val="1002"/>
        </w:numPr>
      </w:pPr>
      <w:r>
        <w:t xml:space="preserve">Generate a report that includes unavailable fields.</w:t>
      </w:r>
    </w:p>
    <w:bookmarkEnd w:id="53"/>
    <w:bookmarkStart w:id="55" w:name="use-case-diagram"/>
    <w:p>
      <w:pPr>
        <w:pStyle w:val="Heading3"/>
      </w:pPr>
      <w:r>
        <w:t xml:space="preserve">Use Case Diagram</w:t>
      </w:r>
    </w:p>
    <w:p>
      <w:pPr>
        <w:pStyle w:val="FirstParagraph"/>
      </w:pPr>
      <w:r>
        <w:t xml:space="preserve">The service pathway supports SBOM registration, runtime event submission, and analyst review of reports. These are code-level interactions, not a validated end-to-end user study.</w:t>
      </w:r>
    </w:p>
    <w:bookmarkStart w:id="54" w:name="fig:usecase"/>
    <w:tbl>
      <w:tblPr>
        <w:tblStyle w:val="FigureTable"/>
        <w:tblW w:type="auto" w:w="0"/>
        <w:jc w:val="center"/>
        <w:tblLook w:firstRow="0" w:lastRow="0" w:firstColumn="0" w:lastColumn="0"/>
      </w:tblPr>
      <w:tblGrid/>
    </w:tbl>
    <w:p>
      <w:pPr>
        <w:pStyle w:val="ImageCaption"/>
      </w:pPr>
      <w:r>
        <w:t xml:space="preserve">Primary project use cases</w:t>
      </w:r>
    </w:p>
    <w:bookmarkEnd w:id="54"/>
    <w:p>
      <w:pPr>
        <w:pStyle w:val="TableCaption"/>
      </w:pPr>
      <w:r>
        <w:t xml:space="preserve">Main use cases</w:t>
      </w:r>
    </w:p>
    <w:tbl>
      <w:tblPr>
        <w:tblStyle w:val="Table"/>
        <w:tblW w:type="auto" w:w="0"/>
        <w:tblLook w:firstRow="1" w:lastRow="0" w:firstColumn="0" w:lastColumn="0" w:noHBand="0" w:noVBand="0" w:val="0020"/>
        <w:tblCaption w:val="Main use cases"/>
      </w:tblPr>
      <w:tblGrid>
        <w:gridCol w:w="2640"/>
        <w:gridCol w:w="2640"/>
        <w:gridCol w:w="2640"/>
      </w:tblGrid>
      <w:tr>
        <w:trPr>
          <w:tblHeader w:val="on"/>
        </w:trPr>
        <w:tc>
          <w:tcPr/>
          <w:p>
            <w:pPr>
              <w:pStyle w:val="Compact"/>
              <w:jc w:val="left"/>
            </w:pPr>
            <w:r>
              <w:t xml:space="preserve">Actor</w:t>
            </w:r>
          </w:p>
        </w:tc>
        <w:tc>
          <w:tcPr/>
          <w:p>
            <w:pPr>
              <w:pStyle w:val="Compact"/>
              <w:jc w:val="left"/>
            </w:pPr>
            <w:r>
              <w:t xml:space="preserve">Use case</w:t>
            </w:r>
          </w:p>
        </w:tc>
        <w:tc>
          <w:tcPr/>
          <w:p>
            <w:pPr>
              <w:pStyle w:val="Compact"/>
              <w:jc w:val="left"/>
            </w:pPr>
            <w:r>
              <w:t xml:space="preserve">Output</w:t>
            </w:r>
          </w:p>
        </w:tc>
      </w:tr>
      <w:tr>
        <w:tc>
          <w:tcPr/>
          <w:p>
            <w:pPr>
              <w:pStyle w:val="Compact"/>
              <w:jc w:val="left"/>
            </w:pPr>
            <w:r>
              <w:t xml:space="preserve">Operator</w:t>
            </w:r>
          </w:p>
        </w:tc>
        <w:tc>
          <w:tcPr/>
          <w:p>
            <w:pPr>
              <w:pStyle w:val="Compact"/>
              <w:jc w:val="left"/>
            </w:pPr>
            <w:r>
              <w:t xml:space="preserve">Register SBOM/image evidence</w:t>
            </w:r>
          </w:p>
        </w:tc>
        <w:tc>
          <w:tcPr/>
          <w:p>
            <w:pPr>
              <w:pStyle w:val="Compact"/>
              <w:jc w:val="left"/>
            </w:pPr>
            <w:r>
              <w:t xml:space="preserve">Verified/rejected artifact record</w:t>
            </w:r>
          </w:p>
        </w:tc>
      </w:tr>
      <w:tr>
        <w:tc>
          <w:tcPr/>
          <w:p>
            <w:pPr>
              <w:pStyle w:val="Compact"/>
              <w:jc w:val="left"/>
            </w:pPr>
            <w:r>
              <w:t xml:space="preserve">Agent</w:t>
            </w:r>
          </w:p>
        </w:tc>
        <w:tc>
          <w:tcPr/>
          <w:p>
            <w:pPr>
              <w:pStyle w:val="Compact"/>
              <w:jc w:val="left"/>
            </w:pPr>
            <w:r>
              <w:t xml:space="preserve">Submit event evidence</w:t>
            </w:r>
          </w:p>
        </w:tc>
        <w:tc>
          <w:tcPr/>
          <w:p>
            <w:pPr>
              <w:pStyle w:val="Compact"/>
              <w:jc w:val="left"/>
            </w:pPr>
            <w:r>
              <w:t xml:space="preserve">Typed event record</w:t>
            </w:r>
          </w:p>
        </w:tc>
      </w:tr>
      <w:tr>
        <w:tc>
          <w:tcPr/>
          <w:p>
            <w:pPr>
              <w:pStyle w:val="Compact"/>
              <w:jc w:val="left"/>
            </w:pPr>
            <w:r>
              <w:t xml:space="preserve">Analyst</w:t>
            </w:r>
          </w:p>
        </w:tc>
        <w:tc>
          <w:tcPr/>
          <w:p>
            <w:pPr>
              <w:pStyle w:val="Compact"/>
              <w:jc w:val="left"/>
            </w:pPr>
            <w:r>
              <w:t xml:space="preserve">Request report</w:t>
            </w:r>
          </w:p>
        </w:tc>
        <w:tc>
          <w:tcPr/>
          <w:p>
            <w:pPr>
              <w:pStyle w:val="Compact"/>
              <w:jc w:val="left"/>
            </w:pPr>
            <w:r>
              <w:t xml:space="preserve">Drift, identity and causal status</w:t>
            </w:r>
          </w:p>
        </w:tc>
      </w:tr>
      <w:tr>
        <w:tc>
          <w:tcPr/>
          <w:p>
            <w:pPr>
              <w:pStyle w:val="Compact"/>
              <w:jc w:val="left"/>
            </w:pPr>
            <w:r>
              <w:t xml:space="preserve">Analyst</w:t>
            </w:r>
          </w:p>
        </w:tc>
        <w:tc>
          <w:tcPr/>
          <w:p>
            <w:pPr>
              <w:pStyle w:val="Compact"/>
              <w:jc w:val="left"/>
            </w:pPr>
            <w:r>
              <w:t xml:space="preserve">Review PCEPS</w:t>
            </w:r>
          </w:p>
        </w:tc>
        <w:tc>
          <w:tcPr/>
          <w:p>
            <w:pPr>
              <w:pStyle w:val="Compact"/>
              <w:jc w:val="left"/>
            </w:pPr>
            <w:r>
              <w:t xml:space="preserve">Score or unavailable status</w:t>
            </w:r>
          </w:p>
        </w:tc>
      </w:tr>
    </w:tbl>
    <w:bookmarkEnd w:id="55"/>
    <w:bookmarkStart w:id="57" w:name="class-diagram"/>
    <w:p>
      <w:pPr>
        <w:pStyle w:val="Heading3"/>
      </w:pPr>
      <w:r>
        <w:t xml:space="preserve">Class Diagram</w:t>
      </w:r>
    </w:p>
    <w:p>
      <w:pPr>
        <w:pStyle w:val="FirstParagraph"/>
      </w:pPr>
      <w:r>
        <w:t xml:space="preserve">The repository uses service/domain models rather than one monolithic class hierarchy. Conceptually, a workload/image is associated with PURLs and runtime containers/processes; events add evidence to graph relations; contracts and causal results summarize selected evidence. A process association or graph edge alone does not prove package causation.</w:t>
      </w:r>
    </w:p>
    <w:bookmarkStart w:id="56" w:name="fig:class"/>
    <w:tbl>
      <w:tblPr>
        <w:tblStyle w:val="FigureTable"/>
        <w:tblW w:type="auto" w:w="0"/>
        <w:jc w:val="center"/>
        <w:tblLook w:firstRow="0" w:lastRow="0" w:firstColumn="0" w:lastColumn="0"/>
      </w:tblPr>
      <w:tblGrid/>
    </w:tbl>
    <w:p>
      <w:pPr>
        <w:pStyle w:val="ImageCaption"/>
      </w:pPr>
      <w:r>
        <w:t xml:space="preserve">Conceptual entity relationships</w:t>
      </w:r>
    </w:p>
    <w:bookmarkEnd w:id="56"/>
    <w:bookmarkEnd w:id="57"/>
    <w:bookmarkStart w:id="59" w:name="sequence-diagram"/>
    <w:p>
      <w:pPr>
        <w:pStyle w:val="Heading3"/>
      </w:pPr>
      <w:r>
        <w:t xml:space="preserve">Sequence Diagram</w:t>
      </w:r>
    </w:p>
    <w:p>
      <w:pPr>
        <w:pStyle w:val="FirstParagraph"/>
      </w:pPr>
      <w:r>
        <w:t xml:space="preserve">An analyst requests a report through the gateway. The gateway requests available graph, drift, attribution, and score records; the report generator assembles them and returns the result. If identity or scoring evidence is missing, the report should retain the unresolved or unavailable state.</w:t>
      </w:r>
    </w:p>
    <w:bookmarkStart w:id="58" w:name="fig:sequence"/>
    <w:tbl>
      <w:tblPr>
        <w:tblStyle w:val="FigureTable"/>
        <w:tblW w:type="auto" w:w="0"/>
        <w:jc w:val="center"/>
        <w:tblLook w:firstRow="0" w:lastRow="0" w:firstColumn="0" w:lastColumn="0"/>
      </w:tblPr>
      <w:tblGrid/>
    </w:tbl>
    <w:p>
      <w:pPr>
        <w:pStyle w:val="ImageCaption"/>
      </w:pPr>
      <w:r>
        <w:t xml:space="preserve">Simplified report-generation sequence</w:t>
      </w:r>
    </w:p>
    <w:bookmarkEnd w:id="58"/>
    <w:bookmarkEnd w:id="59"/>
    <w:bookmarkEnd w:id="60"/>
    <w:bookmarkEnd w:id="61"/>
    <w:bookmarkStart w:id="66" w:name="methodology-and-testing"/>
    <w:p>
      <w:pPr>
        <w:pStyle w:val="Heading1"/>
      </w:pPr>
      <w:r>
        <w:t xml:space="preserve">Methodology and Testing</w:t>
      </w:r>
    </w:p>
    <w:bookmarkStart w:id="63" w:name="module-description"/>
    <w:p>
      <w:pPr>
        <w:pStyle w:val="Heading2"/>
      </w:pPr>
      <w:r>
        <w:t xml:space="preserve">Module Description</w:t>
      </w:r>
    </w:p>
    <w:bookmarkStart w:id="62" w:name="tab:modules"/>
    <w:p>
      <w:pPr>
        <w:pStyle w:val="TableCaption"/>
      </w:pPr>
      <w:r>
        <w:t xml:space="preserve">Repository modules and status</w:t>
      </w:r>
    </w:p>
    <w:tbl>
      <w:tblPr>
        <w:tblStyle w:val="Table"/>
        <w:tblW w:type="auto" w:w="0"/>
        <w:tblLook w:firstRow="1" w:lastRow="0" w:firstColumn="0" w:lastColumn="0" w:noHBand="0" w:noVBand="0" w:val="0020"/>
        <w:tblCaption w:val="Repository modules and status"/>
      </w:tblPr>
      <w:tblGrid>
        <w:gridCol w:w="2640"/>
        <w:gridCol w:w="2640"/>
        <w:gridCol w:w="2640"/>
      </w:tblGrid>
      <w:tr>
        <w:trPr>
          <w:tblHeader w:val="on"/>
        </w:trPr>
        <w:tc>
          <w:tcPr/>
          <w:p>
            <w:pPr>
              <w:pStyle w:val="Compact"/>
              <w:jc w:val="left"/>
            </w:pPr>
            <w:r>
              <w:t xml:space="preserve">Module</w:t>
            </w:r>
          </w:p>
        </w:tc>
        <w:tc>
          <w:tcPr/>
          <w:p>
            <w:pPr>
              <w:pStyle w:val="Compact"/>
              <w:jc w:val="left"/>
            </w:pPr>
            <w:r>
              <w:t xml:space="preserve">Responsibility</w:t>
            </w:r>
          </w:p>
        </w:tc>
        <w:tc>
          <w:tcPr/>
          <w:p>
            <w:pPr>
              <w:pStyle w:val="Compact"/>
              <w:jc w:val="left"/>
            </w:pPr>
            <w:r>
              <w:t xml:space="preserve">Evidence status</w:t>
            </w:r>
          </w:p>
        </w:tc>
      </w:tr>
      <w:tr>
        <w:tc>
          <w:tcPr/>
          <w:p>
            <w:pPr>
              <w:pStyle w:val="Compact"/>
              <w:jc w:val="left"/>
            </w:pPr>
            <w:r>
              <w:t xml:space="preserve">Module</w:t>
            </w:r>
          </w:p>
        </w:tc>
        <w:tc>
          <w:tcPr/>
          <w:p>
            <w:pPr>
              <w:pStyle w:val="Compact"/>
              <w:jc w:val="left"/>
            </w:pPr>
            <w:r>
              <w:t xml:space="preserve">Responsibility</w:t>
            </w:r>
          </w:p>
        </w:tc>
        <w:tc>
          <w:tcPr/>
          <w:p>
            <w:pPr>
              <w:pStyle w:val="Compact"/>
              <w:jc w:val="left"/>
            </w:pPr>
            <w:r>
              <w:t xml:space="preserve">Evidence status</w:t>
            </w:r>
          </w:p>
        </w:tc>
      </w:tr>
      <w:tr>
        <w:tc>
          <w:tcPr/>
          <w:p>
            <w:pPr>
              <w:pStyle w:val="Compact"/>
              <w:jc w:val="left"/>
            </w:pPr>
            <w:r>
              <w:t xml:space="preserve">SBOM service</w:t>
            </w:r>
          </w:p>
        </w:tc>
        <w:tc>
          <w:tcPr/>
          <w:p>
            <w:pPr>
              <w:pStyle w:val="Compact"/>
              <w:jc w:val="left"/>
            </w:pPr>
            <w:r>
              <w:t xml:space="preserve">Digest, metadata and signature paths</w:t>
            </w:r>
          </w:p>
        </w:tc>
        <w:tc>
          <w:tcPr/>
          <w:p>
            <w:pPr>
              <w:pStyle w:val="Compact"/>
              <w:jc w:val="left"/>
            </w:pPr>
            <w:r>
              <w:t xml:space="preserve">Code exists; raw3 binding unresolved</w:t>
            </w:r>
          </w:p>
        </w:tc>
      </w:tr>
      <w:tr>
        <w:tc>
          <w:tcPr/>
          <w:p>
            <w:pPr>
              <w:pStyle w:val="Compact"/>
              <w:jc w:val="left"/>
            </w:pPr>
            <w:r>
              <w:t xml:space="preserve">eBPF agent</w:t>
            </w:r>
          </w:p>
        </w:tc>
        <w:tc>
          <w:tcPr/>
          <w:p>
            <w:pPr>
              <w:pStyle w:val="Compact"/>
              <w:jc w:val="left"/>
            </w:pPr>
            <w:r>
              <w:t xml:space="preserve">Runtime event collection</w:t>
            </w:r>
          </w:p>
        </w:tc>
        <w:tc>
          <w:tcPr/>
          <w:p>
            <w:pPr>
              <w:pStyle w:val="Compact"/>
              <w:jc w:val="left"/>
            </w:pPr>
            <w:r>
              <w:t xml:space="preserve">Code exists; identity incomplete in raw3</w:t>
            </w:r>
          </w:p>
        </w:tc>
      </w:tr>
      <w:tr>
        <w:tc>
          <w:tcPr/>
          <w:p>
            <w:pPr>
              <w:pStyle w:val="Compact"/>
              <w:jc w:val="left"/>
            </w:pPr>
            <w:r>
              <w:t xml:space="preserve">Contract module</w:t>
            </w:r>
          </w:p>
        </w:tc>
        <w:tc>
          <w:tcPr/>
          <w:p>
            <w:pPr>
              <w:pStyle w:val="Compact"/>
              <w:jc w:val="left"/>
            </w:pPr>
            <w:r>
              <w:t xml:space="preserve">Markov training/BIC/model serialization</w:t>
            </w:r>
          </w:p>
        </w:tc>
        <w:tc>
          <w:tcPr/>
          <w:p>
            <w:pPr>
              <w:pStyle w:val="Compact"/>
              <w:jc w:val="left"/>
            </w:pPr>
            <w:r>
              <w:t xml:space="preserve">Implemented and unit-tested</w:t>
            </w:r>
          </w:p>
        </w:tc>
      </w:tr>
      <w:tr>
        <w:tc>
          <w:tcPr/>
          <w:p>
            <w:pPr>
              <w:pStyle w:val="Compact"/>
              <w:jc w:val="left"/>
            </w:pPr>
            <w:r>
              <w:t xml:space="preserve">Drift module</w:t>
            </w:r>
          </w:p>
        </w:tc>
        <w:tc>
          <w:tcPr/>
          <w:p>
            <w:pPr>
              <w:pStyle w:val="Compact"/>
              <w:jc w:val="left"/>
            </w:pPr>
            <w:r>
              <w:t xml:space="preserve">Conditional KL/novelty</w:t>
            </w:r>
          </w:p>
        </w:tc>
        <w:tc>
          <w:tcPr/>
          <w:p>
            <w:pPr>
              <w:pStyle w:val="Compact"/>
              <w:jc w:val="left"/>
            </w:pPr>
            <w:r>
              <w:t xml:space="preserve">Numeric score; no calibrated threshold</w:t>
            </w:r>
          </w:p>
        </w:tc>
      </w:tr>
      <w:tr>
        <w:tc>
          <w:tcPr/>
          <w:p>
            <w:pPr>
              <w:pStyle w:val="Compact"/>
              <w:jc w:val="left"/>
            </w:pPr>
            <w:r>
              <w:t xml:space="preserve">Causal engine</w:t>
            </w:r>
          </w:p>
        </w:tc>
        <w:tc>
          <w:tcPr/>
          <w:p>
            <w:pPr>
              <w:pStyle w:val="Compact"/>
              <w:jc w:val="left"/>
            </w:pPr>
            <w:r>
              <w:t xml:space="preserve">BDG, projection, DoWhy</w:t>
            </w:r>
          </w:p>
        </w:tc>
        <w:tc>
          <w:tcPr/>
          <w:p>
            <w:pPr>
              <w:pStyle w:val="Compact"/>
              <w:jc w:val="left"/>
            </w:pPr>
            <w:r>
              <w:t xml:space="preserve">Implemented paths; no attack oracle validation</w:t>
            </w:r>
          </w:p>
        </w:tc>
      </w:tr>
      <w:tr>
        <w:tc>
          <w:tcPr/>
          <w:p>
            <w:pPr>
              <w:pStyle w:val="Compact"/>
              <w:jc w:val="left"/>
            </w:pPr>
            <w:r>
              <w:t xml:space="preserve">PCEPS</w:t>
            </w:r>
          </w:p>
        </w:tc>
        <w:tc>
          <w:tcPr/>
          <w:p>
            <w:pPr>
              <w:pStyle w:val="Compact"/>
              <w:jc w:val="left"/>
            </w:pPr>
            <w:r>
              <w:t xml:space="preserve">16-feature XGBoost/Platt pathway</w:t>
            </w:r>
          </w:p>
        </w:tc>
        <w:tc>
          <w:tcPr/>
          <w:p>
            <w:pPr>
              <w:pStyle w:val="Compact"/>
              <w:jc w:val="left"/>
            </w:pPr>
            <w:r>
              <w:t xml:space="preserve">Training code; no evaluated artifacts</w:t>
            </w:r>
          </w:p>
        </w:tc>
      </w:tr>
      <w:tr>
        <w:tc>
          <w:tcPr/>
          <w:p>
            <w:pPr>
              <w:pStyle w:val="Compact"/>
              <w:jc w:val="left"/>
            </w:pPr>
            <w:r>
              <w:t xml:space="preserve">API gateway</w:t>
            </w:r>
          </w:p>
        </w:tc>
        <w:tc>
          <w:tcPr/>
          <w:p>
            <w:pPr>
              <w:pStyle w:val="Compact"/>
              <w:jc w:val="left"/>
            </w:pPr>
            <w:r>
              <w:t xml:space="preserve">Coordinates service operations</w:t>
            </w:r>
          </w:p>
        </w:tc>
        <w:tc>
          <w:tcPr/>
          <w:p>
            <w:pPr>
              <w:pStyle w:val="Compact"/>
              <w:jc w:val="left"/>
            </w:pPr>
            <w:r>
              <w:t xml:space="preserve">Code and schemas present</w:t>
            </w:r>
          </w:p>
        </w:tc>
      </w:tr>
      <w:tr>
        <w:tc>
          <w:tcPr/>
          <w:p>
            <w:pPr>
              <w:pStyle w:val="Compact"/>
              <w:jc w:val="left"/>
            </w:pPr>
            <w:r>
              <w:t xml:space="preserve">Report generator</w:t>
            </w:r>
          </w:p>
        </w:tc>
        <w:tc>
          <w:tcPr/>
          <w:p>
            <w:pPr>
              <w:pStyle w:val="Compact"/>
              <w:jc w:val="left"/>
            </w:pPr>
            <w:r>
              <w:t xml:space="preserve">Aggregates evidence</w:t>
            </w:r>
          </w:p>
        </w:tc>
        <w:tc>
          <w:tcPr/>
          <w:p>
            <w:pPr>
              <w:pStyle w:val="Compact"/>
              <w:jc w:val="left"/>
            </w:pPr>
            <w:r>
              <w:t xml:space="preserve">Report output does not validate cause</w:t>
            </w:r>
          </w:p>
        </w:tc>
      </w:tr>
    </w:tbl>
    <w:bookmarkEnd w:id="62"/>
    <w:bookmarkEnd w:id="63"/>
    <w:bookmarkStart w:id="64" w:name="methodology"/>
    <w:p>
      <w:pPr>
        <w:pStyle w:val="Heading2"/>
      </w:pPr>
      <w:r>
        <w:t xml:space="preserve">Methodology</w:t>
      </w:r>
    </w:p>
    <w:p>
      <w:pPr>
        <w:pStyle w:val="FirstParagraph"/>
      </w:pPr>
      <w:r>
        <w:t xml:space="preserve">For candidate order</w:t>
      </w:r>
      <w:r>
        <w:t xml:space="preserve"> </w:t>
      </w:r>
      <m:oMath>
        <m:r>
          <m:t>k</m:t>
        </m:r>
      </m:oMath>
      <w:r>
        <w:t xml:space="preserve">, the transition estimate is</w:t>
      </w:r>
      <w:r>
        <w:t xml:space="preserve"> </w:t>
      </w:r>
      <m:oMath>
        <m:sSub>
          <m:e>
            <m:acc>
              <m:accPr>
                <m:chr m:val="̂"/>
              </m:accPr>
              <m:e>
                <m:r>
                  <m:t>P</m:t>
                </m:r>
              </m:e>
            </m:acc>
          </m:e>
          <m:sub>
            <m:r>
              <m:t>k</m:t>
            </m:r>
          </m:sub>
        </m:sSub>
        <m:r>
          <m:rPr>
            <m:sty m:val="p"/>
          </m:rPr>
          <m:t>(</m:t>
        </m:r>
        <m:r>
          <m:t>x</m:t>
        </m:r>
        <m:r>
          <m:rPr>
            <m:sty m:val="p"/>
          </m:rPr>
          <m:t>∣</m:t>
        </m:r>
        <m:r>
          <m:t>h</m:t>
        </m:r>
        <m:r>
          <m:rPr>
            <m:sty m:val="p"/>
          </m:rPr>
          <m:t>)</m:t>
        </m:r>
        <m:r>
          <m:rPr>
            <m:sty m:val="p"/>
          </m:rPr>
          <m:t>=</m:t>
        </m:r>
        <m:r>
          <m:rPr>
            <m:sty m:val="p"/>
          </m:rPr>
          <m:t>(</m:t>
        </m:r>
        <m:sSub>
          <m:e>
            <m:r>
              <m:t>n</m:t>
            </m:r>
          </m:e>
          <m:sub>
            <m:r>
              <m:t>k</m:t>
            </m:r>
          </m:sub>
        </m:sSub>
        <m:r>
          <m:rPr>
            <m:sty m:val="p"/>
          </m:rPr>
          <m:t>(</m:t>
        </m:r>
        <m:r>
          <m:t>h</m:t>
        </m:r>
        <m:r>
          <m:rPr>
            <m:sty m:val="p"/>
          </m:rPr>
          <m:t>,</m:t>
        </m:r>
        <m:r>
          <m:t>x</m:t>
        </m:r>
        <m:r>
          <m:rPr>
            <m:sty m:val="p"/>
          </m:rPr>
          <m:t>)</m:t>
        </m:r>
        <m:r>
          <m:rPr>
            <m:sty m:val="p"/>
          </m:rPr>
          <m:t>+</m:t>
        </m:r>
        <m:r>
          <m:t>1</m:t>
        </m:r>
        <m:r>
          <m:rPr>
            <m:sty m:val="p"/>
          </m:rPr>
          <m:t>)</m:t>
        </m:r>
        <m:r>
          <m:rPr>
            <m:sty m:val="p"/>
          </m:rPr>
          <m:t>/</m:t>
        </m:r>
        <m:r>
          <m:rPr>
            <m:sty m:val="p"/>
          </m:rPr>
          <m:t>(</m:t>
        </m:r>
        <m:sSub>
          <m:e>
            <m:r>
              <m:t>n</m:t>
            </m:r>
          </m:e>
          <m:sub>
            <m:r>
              <m:t>k</m:t>
            </m:r>
          </m:sub>
        </m:sSub>
        <m:r>
          <m:rPr>
            <m:sty m:val="p"/>
          </m:rPr>
          <m:t>(</m:t>
        </m:r>
        <m:r>
          <m:t>h</m:t>
        </m:r>
        <m:r>
          <m:rPr>
            <m:sty m:val="p"/>
          </m:rPr>
          <m:t>)</m:t>
        </m:r>
        <m:r>
          <m:rPr>
            <m:sty m:val="p"/>
          </m:rPr>
          <m:t>+</m:t>
        </m:r>
        <m:r>
          <m:rPr>
            <m:sty m:val="p"/>
          </m:rPr>
          <m:t>|</m:t>
        </m:r>
        <m:r>
          <m:rPr>
            <m:sty m:val="p"/>
          </m:rPr>
          <m:t>Σ</m:t>
        </m:r>
        <m:r>
          <m:rPr>
            <m:sty m:val="p"/>
          </m:rPr>
          <m:t>|</m:t>
        </m:r>
        <m:r>
          <m:rPr>
            <m:sty m:val="p"/>
          </m:rPr>
          <m:t>)</m:t>
        </m:r>
      </m:oMath>
      <w:r>
        <w:t xml:space="preserve">. Model selection minimizes</w:t>
      </w:r>
      <w:r>
        <w:t xml:space="preserve"> </w:t>
      </w:r>
      <m:oMath>
        <m:r>
          <m:rPr>
            <m:sty m:val="p"/>
          </m:rPr>
          <m:t>B</m:t>
        </m:r>
        <m:r>
          <m:rPr>
            <m:sty m:val="p"/>
          </m:rPr>
          <m:t>I</m:t>
        </m:r>
        <m:r>
          <m:rPr>
            <m:sty m:val="p"/>
          </m:rPr>
          <m:t>C</m:t>
        </m:r>
        <m:r>
          <m:rPr>
            <m:sty m:val="p"/>
          </m:rPr>
          <m:t>(</m:t>
        </m:r>
        <m:r>
          <m:t>k</m:t>
        </m:r>
        <m:r>
          <m:rPr>
            <m:sty m:val="p"/>
          </m:rPr>
          <m:t>)</m:t>
        </m:r>
        <m:r>
          <m:rPr>
            <m:sty m:val="p"/>
          </m:rPr>
          <m:t>=</m:t>
        </m:r>
        <m:r>
          <m:rPr>
            <m:sty m:val="p"/>
          </m:rPr>
          <m:t>−</m:t>
        </m:r>
        <m:r>
          <m:t>2</m:t>
        </m:r>
        <m:r>
          <m:rPr>
            <m:sty m:val="p"/>
          </m:rPr>
          <m:t>log</m:t>
        </m:r>
        <m:sSub>
          <m:e>
            <m:r>
              <m:t>L</m:t>
            </m:r>
          </m:e>
          <m:sub>
            <m:r>
              <m:t>k</m:t>
            </m:r>
          </m:sub>
        </m:sSub>
        <m:r>
          <m:rPr>
            <m:sty m:val="p"/>
          </m:rPr>
          <m:t>+</m:t>
        </m:r>
        <m:sSub>
          <m:e>
            <m:r>
              <m:t>q</m:t>
            </m:r>
          </m:e>
          <m:sub>
            <m:r>
              <m:t>k</m:t>
            </m:r>
          </m:sub>
        </m:sSub>
        <m:r>
          <m:rPr>
            <m:sty m:val="p"/>
          </m:rPr>
          <m:t>log</m:t>
        </m:r>
        <m:r>
          <m:t>N</m:t>
        </m:r>
      </m:oMath>
      <w:r>
        <w:t xml:space="preserve">, where</w:t>
      </w:r>
      <w:r>
        <w:t xml:space="preserve"> </w:t>
      </w:r>
      <m:oMath>
        <m:sSub>
          <m:e>
            <m:r>
              <m:t>q</m:t>
            </m:r>
          </m:e>
          <m:sub>
            <m:r>
              <m:t>k</m:t>
            </m:r>
          </m:sub>
        </m:sSub>
        <m:r>
          <m:rPr>
            <m:sty m:val="p"/>
          </m:rPr>
          <m:t>=</m:t>
        </m:r>
        <m:r>
          <m:rPr>
            <m:sty m:val="p"/>
          </m:rPr>
          <m:t>|</m:t>
        </m:r>
        <m:sSub>
          <m:e>
            <m:r>
              <m:t>H</m:t>
            </m:r>
          </m:e>
          <m:sub>
            <m:r>
              <m:t>k</m:t>
            </m:r>
          </m:sub>
        </m:sSub>
        <m:r>
          <m:rPr>
            <m:sty m:val="p"/>
          </m:rPr>
          <m:t>|</m:t>
        </m:r>
        <m:r>
          <m:rPr>
            <m:sty m:val="p"/>
          </m:rPr>
          <m:t>(</m:t>
        </m:r>
        <m:r>
          <m:rPr>
            <m:sty m:val="p"/>
          </m:rPr>
          <m:t>|</m:t>
        </m:r>
        <m:r>
          <m:rPr>
            <m:sty m:val="p"/>
          </m:rPr>
          <m:t>Σ</m:t>
        </m:r>
        <m:r>
          <m:rPr>
            <m:sty m:val="p"/>
          </m:rPr>
          <m:t>|</m:t>
        </m:r>
        <m:r>
          <m:rPr>
            <m:sty m:val="p"/>
          </m:rPr>
          <m:t>−</m:t>
        </m:r>
        <m:r>
          <m:t>1</m:t>
        </m:r>
        <m:r>
          <m:rPr>
            <m:sty m:val="p"/>
          </m:rPr>
          <m:t>)</m:t>
        </m:r>
      </m:oMath>
      <w:r>
        <w:t xml:space="preserve">. Contexts are pruned when their local BIC does not improve on a retained suffix. The window score is the weighted conditional divergence</w:t>
      </w:r>
    </w:p>
    <w:p>
      <w:pPr>
        <w:pStyle w:val="BodyText"/>
      </w:pPr>
      <m:oMathPara>
        <m:oMathParaPr>
          <m:jc m:val="center"/>
        </m:oMathParaPr>
        <m:oMath>
          <m:sSub>
            <m:e>
              <m:r>
                <m:t>D</m:t>
              </m:r>
            </m:e>
            <m:sub>
              <m:r>
                <m:rPr>
                  <m:sty m:val="p"/>
                </m:rPr>
                <m:t>K</m:t>
              </m:r>
              <m:r>
                <m:rPr>
                  <m:sty m:val="p"/>
                </m:rPr>
                <m:t>L</m:t>
              </m:r>
            </m:sub>
          </m:sSub>
          <m:r>
            <m:rPr>
              <m:sty m:val="p"/>
            </m:rPr>
            <m:t>=</m:t>
          </m:r>
          <m:nary>
            <m:naryPr>
              <m:chr m:val="∑"/>
              <m:limLoc m:val="undOvr"/>
              <m:subHide m:val="off"/>
              <m:supHide m:val="on"/>
            </m:naryPr>
            <m:sub>
              <m:r>
                <m:t>h</m:t>
              </m:r>
            </m:sub>
            <m:sup>
              <m:r>
                <m:t>​</m:t>
              </m:r>
            </m:sup>
            <m:e>
              <m:f>
                <m:fPr>
                  <m:type m:val="bar"/>
                </m:fPr>
                <m:num>
                  <m:sSub>
                    <m:e>
                      <m:r>
                        <m:t>n</m:t>
                      </m:r>
                    </m:e>
                    <m:sub>
                      <m:r>
                        <m:t>h</m:t>
                      </m:r>
                    </m:sub>
                  </m:sSub>
                </m:num>
                <m:den>
                  <m:r>
                    <m:t>N</m:t>
                  </m:r>
                </m:den>
              </m:f>
            </m:e>
          </m:nary>
          <m:nary>
            <m:naryPr>
              <m:chr m:val="∑"/>
              <m:limLoc m:val="undOvr"/>
              <m:subHide m:val="off"/>
              <m:supHide m:val="on"/>
            </m:naryPr>
            <m:sub>
              <m:r>
                <m:t>x</m:t>
              </m:r>
            </m:sub>
            <m:sup>
              <m:r>
                <m:t>​</m:t>
              </m:r>
            </m:sup>
            <m:e>
              <m:sSub>
                <m:e>
                  <m:acc>
                    <m:accPr>
                      <m:chr m:val="̂"/>
                    </m:accPr>
                    <m:e>
                      <m:r>
                        <m:t>P</m:t>
                      </m:r>
                    </m:e>
                  </m:acc>
                </m:e>
                <m:sub>
                  <m:r>
                    <m:rPr>
                      <m:sty m:val="p"/>
                    </m:rPr>
                    <m:t>o</m:t>
                  </m:r>
                  <m:r>
                    <m:rPr>
                      <m:sty m:val="p"/>
                    </m:rPr>
                    <m:t>b</m:t>
                  </m:r>
                  <m:r>
                    <m:rPr>
                      <m:sty m:val="p"/>
                    </m:rPr>
                    <m:t>s</m:t>
                  </m:r>
                </m:sub>
              </m:sSub>
            </m:e>
          </m:nary>
          <m:r>
            <m:rPr>
              <m:sty m:val="p"/>
            </m:rPr>
            <m:t>(</m:t>
          </m:r>
          <m:r>
            <m:t>x</m:t>
          </m:r>
          <m:r>
            <m:rPr>
              <m:sty m:val="p"/>
            </m:rPr>
            <m:t>∣</m:t>
          </m:r>
          <m:r>
            <m:t>h</m:t>
          </m:r>
          <m:r>
            <m:rPr>
              <m:sty m:val="p"/>
            </m:rPr>
            <m:t>)</m:t>
          </m:r>
          <m:r>
            <m:rPr>
              <m:sty m:val="p"/>
            </m:rPr>
            <m:t>log</m:t>
          </m:r>
          <m:f>
            <m:fPr>
              <m:type m:val="bar"/>
            </m:fPr>
            <m:num>
              <m:sSub>
                <m:e>
                  <m:acc>
                    <m:accPr>
                      <m:chr m:val="̂"/>
                    </m:accPr>
                    <m:e>
                      <m:r>
                        <m:t>P</m:t>
                      </m:r>
                    </m:e>
                  </m:acc>
                </m:e>
                <m:sub>
                  <m:r>
                    <m:rPr>
                      <m:sty m:val="p"/>
                    </m:rPr>
                    <m:t>o</m:t>
                  </m:r>
                  <m:r>
                    <m:rPr>
                      <m:sty m:val="p"/>
                    </m:rPr>
                    <m:t>b</m:t>
                  </m:r>
                  <m:r>
                    <m:rPr>
                      <m:sty m:val="p"/>
                    </m:rPr>
                    <m:t>s</m:t>
                  </m:r>
                </m:sub>
              </m:sSub>
              <m:r>
                <m:rPr>
                  <m:sty m:val="p"/>
                </m:rPr>
                <m:t>(</m:t>
              </m:r>
              <m:r>
                <m:t>x</m:t>
              </m:r>
              <m:r>
                <m:rPr>
                  <m:sty m:val="p"/>
                </m:rPr>
                <m:t>∣</m:t>
              </m:r>
              <m:r>
                <m:t>h</m:t>
              </m:r>
              <m:r>
                <m:rPr>
                  <m:sty m:val="p"/>
                </m:rPr>
                <m:t>)</m:t>
              </m:r>
            </m:num>
            <m:den>
              <m:sSub>
                <m:e>
                  <m:r>
                    <m:t>P</m:t>
                  </m:r>
                </m:e>
                <m:sub>
                  <m:r>
                    <m:rPr>
                      <m:sty m:val="p"/>
                    </m:rPr>
                    <m:t>c</m:t>
                  </m:r>
                  <m:r>
                    <m:rPr>
                      <m:sty m:val="p"/>
                    </m:rPr>
                    <m:t>o</m:t>
                  </m:r>
                  <m:r>
                    <m:rPr>
                      <m:sty m:val="p"/>
                    </m:rPr>
                    <m:t>n</m:t>
                  </m:r>
                  <m:r>
                    <m:rPr>
                      <m:sty m:val="p"/>
                    </m:rPr>
                    <m:t>t</m:t>
                  </m:r>
                  <m:r>
                    <m:rPr>
                      <m:sty m:val="p"/>
                    </m:rPr>
                    <m:t>r</m:t>
                  </m:r>
                  <m:r>
                    <m:rPr>
                      <m:sty m:val="p"/>
                    </m:rPr>
                    <m:t>a</m:t>
                  </m:r>
                  <m:r>
                    <m:rPr>
                      <m:sty m:val="p"/>
                    </m:rPr>
                    <m:t>c</m:t>
                  </m:r>
                  <m:r>
                    <m:rPr>
                      <m:sty m:val="p"/>
                    </m:rPr>
                    <m:t>t</m:t>
                  </m:r>
                </m:sub>
              </m:sSub>
              <m:r>
                <m:rPr>
                  <m:sty m:val="p"/>
                </m:rPr>
                <m:t>(</m:t>
              </m:r>
              <m:r>
                <m:t>x</m:t>
              </m:r>
              <m:r>
                <m:rPr>
                  <m:sty m:val="p"/>
                </m:rPr>
                <m:t>∣</m:t>
              </m:r>
              <m:r>
                <m:t>h</m:t>
              </m:r>
              <m:r>
                <m:rPr>
                  <m:sty m:val="p"/>
                </m:rPr>
                <m:t>)</m:t>
              </m:r>
            </m:den>
          </m:f>
          <m:r>
            <m:rPr>
              <m:sty m:val="p"/>
            </m:rPr>
            <m:t>.</m:t>
          </m:r>
        </m:oMath>
      </m:oMathPara>
    </w:p>
    <w:p>
      <w:pPr>
        <w:pStyle w:val="FirstParagraph"/>
      </w:pPr>
      <w:r>
        <w:t xml:space="preserve">This is a numerical score in nats, not a calibrated anomaly probability. The scorer does not implement the proposed split-conformal alert threshold. BDG edges use</w:t>
      </w:r>
      <w:r>
        <w:t xml:space="preserve"> </w:t>
      </w:r>
      <m:oMath>
        <m:sSub>
          <m:e>
            <m:r>
              <m:t>w</m:t>
            </m:r>
          </m:e>
          <m:sub>
            <m:r>
              <m:t>e</m:t>
            </m:r>
          </m:sub>
        </m:sSub>
        <m:r>
          <m:rPr>
            <m:sty m:val="p"/>
          </m:rPr>
          <m:t>(</m:t>
        </m:r>
        <m:r>
          <m:t>t</m:t>
        </m:r>
        <m:r>
          <m:rPr>
            <m:sty m:val="p"/>
          </m:rPr>
          <m:t>)</m:t>
        </m:r>
        <m:r>
          <m:rPr>
            <m:sty m:val="p"/>
          </m:rPr>
          <m:t>=</m:t>
        </m:r>
        <m:sSup>
          <m:e>
            <m:r>
              <m:t>λ</m:t>
            </m:r>
          </m:e>
          <m:sup>
            <m:r>
              <m:rPr>
                <m:sty m:val="p"/>
              </m:rPr>
              <m:t>(</m:t>
            </m:r>
            <m:r>
              <m:t>t</m:t>
            </m:r>
            <m:r>
              <m:rPr>
                <m:sty m:val="p"/>
              </m:rPr>
              <m:t>−</m:t>
            </m:r>
            <m:sSub>
              <m:e>
                <m:r>
                  <m:t>t</m:t>
                </m:r>
              </m:e>
              <m:sub>
                <m:r>
                  <m:t>p</m:t>
                </m:r>
                <m:r>
                  <m:t>r</m:t>
                </m:r>
                <m:r>
                  <m:t>e</m:t>
                </m:r>
                <m:r>
                  <m:t>v</m:t>
                </m:r>
              </m:sub>
            </m:sSub>
            <m:r>
              <m:rPr>
                <m:sty m:val="p"/>
              </m:rPr>
              <m:t>)</m:t>
            </m:r>
            <m:r>
              <m:rPr>
                <m:sty m:val="p"/>
              </m:rPr>
              <m:t>/</m:t>
            </m:r>
            <m:r>
              <m:rPr>
                <m:sty m:val="p"/>
              </m:rPr>
              <m:t>Δ</m:t>
            </m:r>
          </m:sup>
        </m:sSup>
        <m:sSub>
          <m:e>
            <m:r>
              <m:t>w</m:t>
            </m:r>
          </m:e>
          <m:sub>
            <m:r>
              <m:t>e</m:t>
            </m:r>
          </m:sub>
        </m:sSub>
        <m:r>
          <m:rPr>
            <m:sty m:val="p"/>
          </m:rPr>
          <m:t>(</m:t>
        </m:r>
        <m:sSub>
          <m:e>
            <m:r>
              <m:t>t</m:t>
            </m:r>
          </m:e>
          <m:sub>
            <m:r>
              <m:t>p</m:t>
            </m:r>
            <m:r>
              <m:t>r</m:t>
            </m:r>
            <m:r>
              <m:t>e</m:t>
            </m:r>
            <m:r>
              <m:t>v</m:t>
            </m:r>
          </m:sub>
        </m:sSub>
        <m:r>
          <m:rPr>
            <m:sty m:val="p"/>
          </m:rPr>
          <m:t>)</m:t>
        </m:r>
        <m:r>
          <m:rPr>
            <m:sty m:val="p"/>
          </m:rPr>
          <m:t>+</m:t>
        </m:r>
        <m:sSub>
          <m:e>
            <m:r>
              <m:t>q</m:t>
            </m:r>
          </m:e>
          <m:sub>
            <m:r>
              <m:t>e</m:t>
            </m:r>
          </m:sub>
        </m:sSub>
      </m:oMath>
      <w:r>
        <w:t xml:space="preserve">. The fixed semantic causal tiers are assumptions, not proof of cause.</w:t>
      </w:r>
    </w:p>
    <w:bookmarkEnd w:id="64"/>
    <w:bookmarkStart w:id="65" w:name="testing"/>
    <w:p>
      <w:pPr>
        <w:pStyle w:val="Heading2"/>
      </w:pPr>
      <w:r>
        <w:t xml:space="preserve">Testing</w:t>
      </w:r>
    </w:p>
    <w:p>
      <w:pPr>
        <w:pStyle w:val="FirstParagraph"/>
      </w:pPr>
      <w:r>
        <w:t xml:space="preserve">The available local test run reported 454 tests passed and one skipped across the core library and five service suites. These tests exercise software paths, including selected graph and causal abstention behavior. They do not estimate attack-detection accuracy, prove package attribution, or establish production performance.</w:t>
      </w:r>
    </w:p>
    <w:bookmarkEnd w:id="65"/>
    <w:bookmarkEnd w:id="66"/>
    <w:bookmarkStart w:id="69" w:name="project-demonstration"/>
    <w:p>
      <w:pPr>
        <w:pStyle w:val="Heading1"/>
      </w:pPr>
      <w:r>
        <w:t xml:space="preserve">Project Demonstration</w:t>
      </w:r>
    </w:p>
    <w:bookmarkStart w:id="67" w:name="available-demonstration-path"/>
    <w:p>
      <w:pPr>
        <w:pStyle w:val="Heading2"/>
      </w:pPr>
      <w:r>
        <w:t xml:space="preserve">Available Demonstration Path</w:t>
      </w:r>
    </w:p>
    <w:p>
      <w:pPr>
        <w:pStyle w:val="FirstParagraph"/>
      </w:pPr>
      <w:r>
        <w:t xml:space="preserve">The repository includes service APIs, Docker Compose and infrastructure definitions, and an analyst client. A demonstrable pathway would register SBOM/image evidence, collect events, compare a contract, inspect graph and causal status, and review a generated report. The raw runs do not establish a reproducible deployed demonstration because image digests, exact versions, and package identity links are incomplete. No verified screenshot or live demonstration transcript was found, so this report does not claim a specific observed UI session.</w:t>
      </w:r>
    </w:p>
    <w:bookmarkEnd w:id="67"/>
    <w:bookmarkStart w:id="68" w:name="completed-run-evidence"/>
    <w:p>
      <w:pPr>
        <w:pStyle w:val="Heading2"/>
      </w:pPr>
      <w:r>
        <w:t xml:space="preserve">Completed-Run Evidence</w:t>
      </w:r>
    </w:p>
    <w:p>
      <w:pPr>
        <w:pStyle w:val="FirstParagraph"/>
      </w:pPr>
      <w:r>
        <w:t xml:space="preserve">Six completed runs contain first-event timestamps within the 120-second window. Recorded events include namespace-change or privilege-transition observations, but identity remains ambiguous or missing and PURL/SBOM fields are unresolved. These traces support event-presence and latency only.</w:t>
      </w:r>
    </w:p>
    <w:bookmarkEnd w:id="68"/>
    <w:bookmarkEnd w:id="69"/>
    <w:bookmarkStart w:id="80" w:name="result-and-discussion"/>
    <w:p>
      <w:pPr>
        <w:pStyle w:val="Heading1"/>
      </w:pPr>
      <w:r>
        <w:t xml:space="preserve">Result and Discussion</w:t>
      </w:r>
    </w:p>
    <w:bookmarkStart w:id="71" w:name="experimental-setup"/>
    <w:p>
      <w:pPr>
        <w:pStyle w:val="Heading2"/>
      </w:pPr>
      <w:r>
        <w:t xml:space="preserve">Experimental Setup</w:t>
      </w:r>
    </w:p>
    <w:p>
      <w:pPr>
        <w:pStyle w:val="FirstParagraph"/>
      </w:pPr>
      <w:r>
        <w:t xml:space="preserve">The raw3 set has nine records: three XZ-style runs, three dependency-confusion runs, and three failed SolarWinds-style injections. Six completed attack phases are valid observations; failed injections are not false negatives. The exact kernel, Kubernetes and runtime versions, image digests, commit and experiment package versions are missing.</w:t>
      </w:r>
    </w:p>
    <w:bookmarkStart w:id="70" w:name="tab:runs"/>
    <w:p>
      <w:pPr>
        <w:pStyle w:val="TableCaption"/>
      </w:pPr>
      <w:r>
        <w:t xml:space="preserve">Run-level observed outcomes</w:t>
      </w:r>
    </w:p>
    <w:tbl>
      <w:tblPr>
        <w:tblStyle w:val="Table"/>
        <w:tblW w:type="auto" w:w="0"/>
        <w:tblLook w:firstRow="1" w:lastRow="0" w:firstColumn="0" w:lastColumn="0" w:noHBand="0" w:noVBand="0" w:val="0020"/>
        <w:tblCaption w:val="Run-level observed outcomes"/>
      </w:tblPr>
      <w:tblGrid>
        <w:gridCol w:w="1584"/>
        <w:gridCol w:w="1584"/>
        <w:gridCol w:w="1584"/>
        <w:gridCol w:w="1584"/>
        <w:gridCol w:w="1584"/>
      </w:tblGrid>
      <w:tr>
        <w:trPr>
          <w:tblHeader w:val="on"/>
        </w:trPr>
        <w:tc>
          <w:tcPr/>
          <w:p>
            <w:pPr>
              <w:pStyle w:val="Compact"/>
              <w:jc w:val="left"/>
            </w:pPr>
            <w:r>
              <w:t xml:space="preserve">Family</w:t>
            </w:r>
          </w:p>
        </w:tc>
        <w:tc>
          <w:tcPr/>
          <w:p>
            <w:pPr>
              <w:pStyle w:val="Compact"/>
              <w:jc w:val="right"/>
            </w:pPr>
            <w:r>
              <w:t xml:space="preserve">Valid</w:t>
            </w:r>
          </w:p>
        </w:tc>
        <w:tc>
          <w:tcPr/>
          <w:p>
            <w:pPr>
              <w:pStyle w:val="Compact"/>
              <w:jc w:val="right"/>
            </w:pPr>
            <w:r>
              <w:t xml:space="preserve">Event+</w:t>
            </w:r>
          </w:p>
        </w:tc>
        <w:tc>
          <w:tcPr/>
          <w:p>
            <w:pPr>
              <w:pStyle w:val="Compact"/>
              <w:jc w:val="right"/>
            </w:pPr>
            <w:r>
              <w:t xml:space="preserve">Failed</w:t>
            </w:r>
          </w:p>
        </w:tc>
        <w:tc>
          <w:tcPr/>
          <w:p>
            <w:pPr>
              <w:pStyle w:val="Compact"/>
              <w:jc w:val="center"/>
            </w:pPr>
            <w:r>
              <w:t xml:space="preserve">Evidence status</w:t>
            </w:r>
          </w:p>
        </w:tc>
      </w:tr>
      <w:tr>
        <w:tc>
          <w:tcPr/>
          <w:p>
            <w:pPr>
              <w:pStyle w:val="Compact"/>
              <w:jc w:val="left"/>
            </w:pPr>
            <w:r>
              <w:t xml:space="preserve">XZ-style</w:t>
            </w:r>
          </w:p>
        </w:tc>
        <w:tc>
          <w:tcPr/>
          <w:p>
            <w:pPr>
              <w:pStyle w:val="Compact"/>
              <w:jc w:val="right"/>
            </w:pPr>
            <w:r>
              <w:t xml:space="preserve">3</w:t>
            </w:r>
          </w:p>
        </w:tc>
        <w:tc>
          <w:tcPr/>
          <w:p>
            <w:pPr>
              <w:pStyle w:val="Compact"/>
              <w:jc w:val="right"/>
            </w:pPr>
            <w:r>
              <w:t xml:space="preserve">3</w:t>
            </w:r>
          </w:p>
        </w:tc>
        <w:tc>
          <w:tcPr/>
          <w:p>
            <w:pPr>
              <w:pStyle w:val="Compact"/>
              <w:jc w:val="right"/>
            </w:pPr>
            <w:r>
              <w:t xml:space="preserve">0</w:t>
            </w:r>
          </w:p>
        </w:tc>
        <w:tc>
          <w:tcPr/>
          <w:p>
            <w:pPr>
              <w:pStyle w:val="Compact"/>
              <w:jc w:val="right"/>
            </w:pPr>
            <w:r>
              <w:t xml:space="preserve">Identity unresolved</w:t>
            </w:r>
          </w:p>
        </w:tc>
      </w:tr>
      <w:tr>
        <w:tc>
          <w:tcPr/>
          <w:p>
            <w:pPr>
              <w:pStyle w:val="Compact"/>
              <w:jc w:val="left"/>
            </w:pPr>
            <w:r>
              <w:t xml:space="preserve">Dependency confusion</w:t>
            </w:r>
          </w:p>
        </w:tc>
        <w:tc>
          <w:tcPr/>
          <w:p>
            <w:pPr>
              <w:pStyle w:val="Compact"/>
              <w:jc w:val="right"/>
            </w:pPr>
            <w:r>
              <w:t xml:space="preserve">3</w:t>
            </w:r>
          </w:p>
        </w:tc>
        <w:tc>
          <w:tcPr/>
          <w:p>
            <w:pPr>
              <w:pStyle w:val="Compact"/>
              <w:jc w:val="right"/>
            </w:pPr>
            <w:r>
              <w:t xml:space="preserve">3</w:t>
            </w:r>
          </w:p>
        </w:tc>
        <w:tc>
          <w:tcPr/>
          <w:p>
            <w:pPr>
              <w:pStyle w:val="Compact"/>
              <w:jc w:val="right"/>
            </w:pPr>
            <w:r>
              <w:t xml:space="preserve">0</w:t>
            </w:r>
          </w:p>
        </w:tc>
        <w:tc>
          <w:tcPr/>
          <w:p>
            <w:pPr>
              <w:pStyle w:val="Compact"/>
              <w:jc w:val="right"/>
            </w:pPr>
            <w:r>
              <w:t xml:space="preserve">Identity unresolved</w:t>
            </w:r>
          </w:p>
        </w:tc>
      </w:tr>
      <w:tr>
        <w:tc>
          <w:tcPr/>
          <w:p>
            <w:pPr>
              <w:pStyle w:val="Compact"/>
              <w:jc w:val="left"/>
            </w:pPr>
            <w:r>
              <w:t xml:space="preserve">SolarWinds-style</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c>
          <w:tcPr/>
          <w:p>
            <w:pPr>
              <w:pStyle w:val="Compact"/>
              <w:jc w:val="right"/>
            </w:pPr>
            <w:r>
              <w:t xml:space="preserve">Injection failed</w:t>
            </w:r>
          </w:p>
        </w:tc>
      </w:tr>
      <w:tr>
        <w:tc>
          <w:tcPr/>
          <w:p>
            <w:pPr>
              <w:pStyle w:val="Compact"/>
              <w:jc w:val="left"/>
            </w:pPr>
            <w:r>
              <w:t xml:space="preserve">Benign control</w:t>
            </w:r>
          </w:p>
        </w:tc>
        <w:tc>
          <w:tcPr/>
          <w:p>
            <w:pPr>
              <w:pStyle w:val="Compact"/>
              <w:jc w:val="right"/>
            </w:pPr>
            <w:r>
              <w:t xml:space="preserve">0</w:t>
            </w:r>
          </w:p>
        </w:tc>
        <w:tc>
          <w:tcPr/>
          <w:p>
            <w:pPr>
              <w:pStyle w:val="Compact"/>
              <w:jc w:val="right"/>
            </w:pPr>
            <w:r>
              <w:t xml:space="preserve">–</w:t>
            </w:r>
          </w:p>
        </w:tc>
        <w:tc>
          <w:tcPr/>
          <w:p>
            <w:pPr>
              <w:pStyle w:val="Compact"/>
              <w:jc w:val="right"/>
            </w:pPr>
            <w:r>
              <w:t xml:space="preserve">–</w:t>
            </w:r>
          </w:p>
        </w:tc>
        <w:tc>
          <w:tcPr/>
          <w:p>
            <w:pPr>
              <w:pStyle w:val="Compact"/>
              <w:jc w:val="right"/>
            </w:pPr>
            <w:r>
              <w:t xml:space="preserve">No valid controls</w:t>
            </w:r>
          </w:p>
        </w:tc>
      </w:tr>
    </w:tbl>
    <w:bookmarkEnd w:id="70"/>
    <w:bookmarkEnd w:id="71"/>
    <w:bookmarkStart w:id="73" w:name="event-presence-and-latency"/>
    <w:p>
      <w:pPr>
        <w:pStyle w:val="Heading2"/>
      </w:pPr>
      <w:r>
        <w:t xml:space="preserve">Event Presence and Latency</w:t>
      </w:r>
    </w:p>
    <w:p>
      <w:pPr>
        <w:pStyle w:val="FirstParagraph"/>
      </w:pPr>
      <w:r>
        <w:t xml:space="preserve">All six completed runs have a recorded drift event. The event-positive fraction is</w:t>
      </w:r>
      <w:r>
        <w:t xml:space="preserve"> </w:t>
      </w:r>
      <m:oMath>
        <m:r>
          <m:t>6</m:t>
        </m:r>
        <m:r>
          <m:rPr>
            <m:sty m:val="p"/>
          </m:rPr>
          <m:t>/</m:t>
        </m:r>
        <m:r>
          <m:t>6</m:t>
        </m:r>
        <m:r>
          <m:rPr>
            <m:sty m:val="p"/>
          </m:rPr>
          <m:t>=</m:t>
        </m:r>
        <m:r>
          <m:t>1.000</m:t>
        </m:r>
      </m:oMath>
      <w:r>
        <w:t xml:space="preserve"> </w:t>
      </w:r>
      <w:r>
        <w:t xml:space="preserve">with two-sided 95% Wilson score interval</w:t>
      </w:r>
      <w:r>
        <w:t xml:space="preserve"> </w:t>
      </w:r>
      <m:oMath>
        <m:r>
          <m:rPr>
            <m:sty m:val="p"/>
          </m:rPr>
          <m:t>[</m:t>
        </m:r>
        <m:r>
          <m:t>0.610</m:t>
        </m:r>
        <m:r>
          <m:rPr>
            <m:sty m:val="p"/>
          </m:rPr>
          <m:t>,</m:t>
        </m:r>
        <m:r>
          <m:t>1.000</m:t>
        </m:r>
        <m:r>
          <m:rPr>
            <m:sty m:val="p"/>
          </m:rPr>
          <m:t>]</m:t>
        </m:r>
      </m:oMath>
      <w:r>
        <w:t xml:space="preserve">. It is not a validated recall estimate. Latency is injection timestamp to first recorded PHANTOM event timestamp; P95 uses linear interpolation.</w:t>
      </w:r>
    </w:p>
    <w:bookmarkStart w:id="72" w:name="tab:latency"/>
    <w:p>
      <w:pPr>
        <w:pStyle w:val="TableCaption"/>
      </w:pPr>
      <w:r>
        <w:t xml:space="preserve">Injection-to-first-recorded-event latency</w:t>
      </w:r>
    </w:p>
    <w:tbl>
      <w:tblPr>
        <w:tblStyle w:val="Table"/>
        <w:tblW w:type="auto" w:w="0"/>
        <w:tblLook w:firstRow="1" w:lastRow="0" w:firstColumn="0" w:lastColumn="0" w:noHBand="0" w:noVBand="0" w:val="0020"/>
        <w:tblCaption w:val="Injection-to-first-recorded-event latency"/>
      </w:tblPr>
      <w:tblGrid>
        <w:gridCol w:w="2640"/>
        <w:gridCol w:w="2640"/>
        <w:gridCol w:w="2640"/>
      </w:tblGrid>
      <w:tr>
        <w:trPr>
          <w:tblHeader w:val="on"/>
        </w:trPr>
        <w:tc>
          <w:tcPr/>
          <w:p>
            <w:pPr>
              <w:pStyle w:val="Compact"/>
              <w:jc w:val="left"/>
            </w:pPr>
            <w:r>
              <w:t xml:space="preserve">Family</w:t>
            </w:r>
          </w:p>
        </w:tc>
        <w:tc>
          <w:tcPr/>
          <w:p>
            <w:pPr>
              <w:pStyle w:val="Compact"/>
              <w:jc w:val="left"/>
            </w:pPr>
            <w:r>
              <w:t xml:space="preserve">Run</w:t>
            </w:r>
          </w:p>
        </w:tc>
        <w:tc>
          <w:tcPr/>
          <w:p>
            <w:pPr>
              <w:pStyle w:val="Compact"/>
              <w:jc w:val="right"/>
            </w:pPr>
            <w:r>
              <w:t xml:space="preserve">Seconds</w:t>
            </w:r>
          </w:p>
        </w:tc>
      </w:tr>
      <w:tr>
        <w:tc>
          <w:tcPr/>
          <w:p>
            <w:pPr>
              <w:pStyle w:val="Compact"/>
              <w:jc w:val="left"/>
            </w:pPr>
            <w:r>
              <w:t xml:space="preserve">XZ-style</w:t>
            </w:r>
          </w:p>
        </w:tc>
        <w:tc>
          <w:tcPr/>
          <w:p>
            <w:pPr>
              <w:pStyle w:val="Compact"/>
              <w:jc w:val="left"/>
            </w:pPr>
            <w:r>
              <w:t xml:space="preserve">1</w:t>
            </w:r>
          </w:p>
        </w:tc>
        <w:tc>
          <w:tcPr/>
          <w:p>
            <w:pPr>
              <w:pStyle w:val="Compact"/>
              <w:jc w:val="right"/>
            </w:pPr>
            <w:r>
              <w:t xml:space="preserve">70.332</w:t>
            </w:r>
          </w:p>
        </w:tc>
      </w:tr>
      <w:tr>
        <w:tc>
          <w:tcPr/>
          <w:p>
            <w:pPr>
              <w:pStyle w:val="Compact"/>
              <w:jc w:val="left"/>
            </w:pPr>
            <w:r>
              <w:t xml:space="preserve">XZ-style</w:t>
            </w:r>
          </w:p>
        </w:tc>
        <w:tc>
          <w:tcPr/>
          <w:p>
            <w:pPr>
              <w:pStyle w:val="Compact"/>
              <w:jc w:val="left"/>
            </w:pPr>
            <w:r>
              <w:t xml:space="preserve">2</w:t>
            </w:r>
          </w:p>
        </w:tc>
        <w:tc>
          <w:tcPr/>
          <w:p>
            <w:pPr>
              <w:pStyle w:val="Compact"/>
              <w:jc w:val="right"/>
            </w:pPr>
            <w:r>
              <w:t xml:space="preserve">6.350</w:t>
            </w:r>
          </w:p>
        </w:tc>
      </w:tr>
      <w:tr>
        <w:tc>
          <w:tcPr/>
          <w:p>
            <w:pPr>
              <w:pStyle w:val="Compact"/>
              <w:jc w:val="left"/>
            </w:pPr>
            <w:r>
              <w:t xml:space="preserve">XZ-style</w:t>
            </w:r>
          </w:p>
        </w:tc>
        <w:tc>
          <w:tcPr/>
          <w:p>
            <w:pPr>
              <w:pStyle w:val="Compact"/>
              <w:jc w:val="left"/>
            </w:pPr>
            <w:r>
              <w:t xml:space="preserve">3</w:t>
            </w:r>
          </w:p>
        </w:tc>
        <w:tc>
          <w:tcPr/>
          <w:p>
            <w:pPr>
              <w:pStyle w:val="Compact"/>
              <w:jc w:val="right"/>
            </w:pPr>
            <w:r>
              <w:t xml:space="preserve">4.682</w:t>
            </w:r>
          </w:p>
        </w:tc>
      </w:tr>
      <w:tr>
        <w:tc>
          <w:tcPr/>
          <w:p>
            <w:pPr>
              <w:pStyle w:val="Compact"/>
              <w:jc w:val="left"/>
            </w:pPr>
            <w:r>
              <w:t xml:space="preserve">Dependency confusion</w:t>
            </w:r>
          </w:p>
        </w:tc>
        <w:tc>
          <w:tcPr/>
          <w:p>
            <w:pPr>
              <w:pStyle w:val="Compact"/>
              <w:jc w:val="left"/>
            </w:pPr>
            <w:r>
              <w:t xml:space="preserve">1</w:t>
            </w:r>
          </w:p>
        </w:tc>
        <w:tc>
          <w:tcPr/>
          <w:p>
            <w:pPr>
              <w:pStyle w:val="Compact"/>
              <w:jc w:val="right"/>
            </w:pPr>
            <w:r>
              <w:t xml:space="preserve">2.607</w:t>
            </w:r>
          </w:p>
        </w:tc>
      </w:tr>
      <w:tr>
        <w:tc>
          <w:tcPr/>
          <w:p>
            <w:pPr>
              <w:pStyle w:val="Compact"/>
              <w:jc w:val="left"/>
            </w:pPr>
            <w:r>
              <w:t xml:space="preserve">Dependency confusion</w:t>
            </w:r>
          </w:p>
        </w:tc>
        <w:tc>
          <w:tcPr/>
          <w:p>
            <w:pPr>
              <w:pStyle w:val="Compact"/>
              <w:jc w:val="left"/>
            </w:pPr>
            <w:r>
              <w:t xml:space="preserve">2</w:t>
            </w:r>
          </w:p>
        </w:tc>
        <w:tc>
          <w:tcPr/>
          <w:p>
            <w:pPr>
              <w:pStyle w:val="Compact"/>
              <w:jc w:val="right"/>
            </w:pPr>
            <w:r>
              <w:t xml:space="preserve">7.876</w:t>
            </w:r>
          </w:p>
        </w:tc>
      </w:tr>
      <w:tr>
        <w:tc>
          <w:tcPr/>
          <w:p>
            <w:pPr>
              <w:pStyle w:val="Compact"/>
              <w:jc w:val="left"/>
            </w:pPr>
            <w:r>
              <w:t xml:space="preserve">Dependency confusion</w:t>
            </w:r>
          </w:p>
        </w:tc>
        <w:tc>
          <w:tcPr/>
          <w:p>
            <w:pPr>
              <w:pStyle w:val="Compact"/>
              <w:jc w:val="left"/>
            </w:pPr>
            <w:r>
              <w:t xml:space="preserve">3</w:t>
            </w:r>
          </w:p>
        </w:tc>
        <w:tc>
          <w:tcPr/>
          <w:p>
            <w:pPr>
              <w:pStyle w:val="Compact"/>
              <w:jc w:val="right"/>
            </w:pPr>
            <w:r>
              <w:t xml:space="preserve">2.578</w:t>
            </w:r>
          </w:p>
        </w:tc>
      </w:tr>
      <w:tr>
        <w:tc>
          <w:tcPr/>
          <w:p>
            <w:pPr>
              <w:pStyle w:val="Compact"/>
              <w:jc w:val="left"/>
            </w:pPr>
            <w:r>
              <w:t xml:space="preserve">All</w:t>
            </w:r>
          </w:p>
        </w:tc>
        <w:tc>
          <w:tcPr/>
          <w:p>
            <w:pPr>
              <w:pStyle w:val="Compact"/>
              <w:jc w:val="left"/>
            </w:pPr>
            <w:r>
              <w:t xml:space="preserve">Mean</w:t>
            </w:r>
          </w:p>
        </w:tc>
        <w:tc>
          <w:tcPr/>
          <w:p>
            <w:pPr>
              <w:pStyle w:val="Compact"/>
              <w:jc w:val="right"/>
            </w:pPr>
            <w:r>
              <w:t xml:space="preserve">15.737</w:t>
            </w:r>
          </w:p>
        </w:tc>
      </w:tr>
      <w:tr>
        <w:tc>
          <w:tcPr/>
          <w:p>
            <w:pPr>
              <w:pStyle w:val="Compact"/>
              <w:jc w:val="left"/>
            </w:pPr>
            <w:r>
              <w:t xml:space="preserve">All</w:t>
            </w:r>
          </w:p>
        </w:tc>
        <w:tc>
          <w:tcPr/>
          <w:p>
            <w:pPr>
              <w:pStyle w:val="Compact"/>
              <w:jc w:val="left"/>
            </w:pPr>
            <w:r>
              <w:t xml:space="preserve">Median</w:t>
            </w:r>
          </w:p>
        </w:tc>
        <w:tc>
          <w:tcPr/>
          <w:p>
            <w:pPr>
              <w:pStyle w:val="Compact"/>
              <w:jc w:val="right"/>
            </w:pPr>
            <w:r>
              <w:t xml:space="preserve">5.516</w:t>
            </w:r>
          </w:p>
        </w:tc>
      </w:tr>
      <w:tr>
        <w:tc>
          <w:tcPr/>
          <w:p>
            <w:pPr>
              <w:pStyle w:val="Compact"/>
              <w:jc w:val="left"/>
            </w:pPr>
            <w:r>
              <w:t xml:space="preserve">All</w:t>
            </w:r>
          </w:p>
        </w:tc>
        <w:tc>
          <w:tcPr/>
          <w:p>
            <w:pPr>
              <w:pStyle w:val="Compact"/>
              <w:jc w:val="left"/>
            </w:pPr>
            <w:r>
              <w:t xml:space="preserve">Interpolated P95</w:t>
            </w:r>
          </w:p>
        </w:tc>
        <w:tc>
          <w:tcPr/>
          <w:p>
            <w:pPr>
              <w:pStyle w:val="Compact"/>
              <w:jc w:val="right"/>
            </w:pPr>
            <w:r>
              <w:t xml:space="preserve">54.718</w:t>
            </w:r>
          </w:p>
        </w:tc>
      </w:tr>
    </w:tbl>
    <w:bookmarkEnd w:id="72"/>
    <w:p>
      <w:pPr>
        <w:pStyle w:val="BodyText"/>
      </w:pPr>
      <w:r>
        <w:t xml:space="preserve">The long first XZ latency’s cause is not established. The unit is a scenario run, not duplicated event rows. Without valid benign controls, true negatives, precision, recall, F1, specificity, FPR, and false alarms/hour are unavailable.</w:t>
      </w:r>
    </w:p>
    <w:bookmarkEnd w:id="73"/>
    <w:bookmarkStart w:id="74" w:name="causal-attribution"/>
    <w:p>
      <w:pPr>
        <w:pStyle w:val="Heading2"/>
      </w:pPr>
      <w:r>
        <w:t xml:space="preserve">Causal Attribution</w:t>
      </w:r>
    </w:p>
    <w:p>
      <w:pPr>
        <w:pStyle w:val="FirstParagraph"/>
      </w:pPr>
      <w:r>
        <w:t xml:space="preserve">An aggregate artifact reports 1.0 attribution accuracy, but raw records contain no predicted PURLs compared with oracle target PURLs. Event identities are unresolved. Graph association and correct process identification do not prove causal correctness. The temporal projection uses fixed semantic tiers and a graph constructed partly from prescribed edges. No attribution accuracy is reported.</w:t>
      </w:r>
    </w:p>
    <w:bookmarkEnd w:id="74"/>
    <w:bookmarkStart w:id="75" w:name="pceps-results"/>
    <w:p>
      <w:pPr>
        <w:pStyle w:val="Heading2"/>
      </w:pPr>
      <w:r>
        <w:t xml:space="preserve">PCEPS Results</w:t>
      </w:r>
    </w:p>
    <w:p>
      <w:pPr>
        <w:pStyle w:val="FirstParagraph"/>
      </w:pPr>
      <w:r>
        <w:t xml:space="preserve">Training, calibration, and scoring code exists. No trained model, calibration file, scored windows, held-out labels, or reproducible performance output was found. No AUC, Brier score, calibration error, or future-compromise result is reported.</w:t>
      </w:r>
    </w:p>
    <w:bookmarkEnd w:id="75"/>
    <w:bookmarkStart w:id="76" w:name="baseline-comparison"/>
    <w:p>
      <w:pPr>
        <w:pStyle w:val="Heading2"/>
      </w:pPr>
      <w:r>
        <w:t xml:space="preserve">Baseline Comparison</w:t>
      </w:r>
    </w:p>
    <w:p>
      <w:pPr>
        <w:pStyle w:val="FirstParagraph"/>
      </w:pPr>
      <w:r>
        <w:t xml:space="preserve">The baseline log records Falco and Trivy setup skipped, Falco alert output missing, and Isolation Forest fit on synthetic rather than matched attack-trace frequencies. Trivy is a static vulnerability scanner. No comparative recall or superiority claim is supported.</w:t>
      </w:r>
    </w:p>
    <w:bookmarkEnd w:id="76"/>
    <w:bookmarkStart w:id="77" w:name="overhead-and-cost"/>
    <w:p>
      <w:pPr>
        <w:pStyle w:val="Heading2"/>
      </w:pPr>
      <w:r>
        <w:t xml:space="preserve">Overhead and Cost</w:t>
      </w:r>
    </w:p>
    <w:p>
      <w:pPr>
        <w:pStyle w:val="FirstParagraph"/>
      </w:pPr>
      <w:r>
        <w:t xml:space="preserve">Saved CPU, memory and event-lag values are zero but lack raw samples and measurement provenance; they do not demonstrate zero overhead. Project cost data were not available. A future study should compare enabled/disabled monitoring under matched workloads and collect CPU, memory, application/event latency, dropped events, host versions and raw samples.</w:t>
      </w:r>
    </w:p>
    <w:bookmarkEnd w:id="77"/>
    <w:bookmarkStart w:id="78" w:name="threats-to-validity"/>
    <w:p>
      <w:pPr>
        <w:pStyle w:val="Heading2"/>
      </w:pPr>
      <w:r>
        <w:t xml:space="preserve">Threats to Validity</w:t>
      </w:r>
    </w:p>
    <w:p>
      <w:pPr>
        <w:pStyle w:val="FirstParagraph"/>
      </w:pPr>
      <w:r>
        <w:t xml:space="preserve">The sample covers two attack families and event presence rather than confirmed component attribution. Three injections failed, controls are absent, and package bindings are unresolved. Baseline outputs, PCEPS evaluation, overhead, and reproducibility manifest are incomplete. The causal projection depends on supplied covariates and fixed semantic ordering. These limitations prevent generalized performance or causal-correctness claims.</w:t>
      </w:r>
    </w:p>
    <w:bookmarkEnd w:id="78"/>
    <w:bookmarkStart w:id="79" w:name="proposed-follow-up-evaluation"/>
    <w:p>
      <w:pPr>
        <w:pStyle w:val="Heading2"/>
      </w:pPr>
      <w:r>
        <w:t xml:space="preserve">Proposed Follow-Up Evaluation</w:t>
      </w:r>
    </w:p>
    <w:p>
      <w:pPr>
        <w:pStyle w:val="FirstParagraph"/>
      </w:pPr>
      <w:r>
        <w:t xml:space="preserve">Freeze contracts before testing; pre-register labels; run benign package upgrades, load/configuration changes, restarts/autoscaling, both completed attacks, and repaired failed injections. Archive target PURL, image digest, process lineage, independent oracle, and PHANTOM prediction. Configure baselines for appropriate tasks on matched inputs. Split prospective PCEPS outcomes by independent run/workload. Collect resource and event-loss samples with host provenance. This is future work, not completed experimentation.</w:t>
      </w:r>
    </w:p>
    <w:bookmarkEnd w:id="79"/>
    <w:bookmarkEnd w:id="80"/>
    <w:bookmarkStart w:id="103" w:name="conclusion"/>
    <w:p>
      <w:pPr>
        <w:pStyle w:val="Heading1"/>
      </w:pPr>
      <w:r>
        <w:t xml:space="preserve">Conclusion</w:t>
      </w:r>
    </w:p>
    <w:p>
      <w:pPr>
        <w:pStyle w:val="FirstParagraph"/>
      </w:pPr>
      <w:r>
        <w:t xml:space="preserve">PHANTOM is an implemented prototype connecting SBOM-facing services, eBPF collection, variable-order Markov contracts, a typed time-decayed graph, causal-estimation pathways, PCEPS code, and report generation. Six completed attack runs contain recorded events and measurable injection-to-first-event latency. The evidence does not establish component-level causal attribution, calibrated prediction, benign false-positive behavior, baseline performance, or overhead. A controlled follow-up with resolved identity, ground truth, controls, matched baselines and a reproducibility manifest is required before stronger claims are made.</w:t>
      </w:r>
    </w:p>
    <w:p>
      <w:pPr>
        <w:pStyle w:val="BodyText"/>
      </w:pPr>
      <w:r>
        <w:t xml:space="preserve">99</w:t>
      </w:r>
    </w:p>
    <w:p>
      <w:pPr>
        <w:pStyle w:val="BodyText"/>
      </w:pPr>
      <w:r>
        <w:t xml:space="preserve">CISA,</w:t>
      </w:r>
      <w:r>
        <w:t xml:space="preserve"> </w:t>
      </w:r>
      <w:r>
        <w:t xml:space="preserve">“Reported Supply Chain Compromise Affecting XZ Utils Data Compression Library, CVE-2024-3094,”</w:t>
      </w:r>
      <w:r>
        <w:t xml:space="preserve"> </w:t>
      </w:r>
      <w:r>
        <w:t xml:space="preserve">Alert AA24-089A, Mar. 29, 2024.</w:t>
      </w:r>
      <w:r>
        <w:t xml:space="preserve"> </w:t>
      </w:r>
      <w:r>
        <w:t xml:space="preserve">A. Freund,</w:t>
      </w:r>
      <w:r>
        <w:t xml:space="preserve"> </w:t>
      </w:r>
      <w:r>
        <w:t xml:space="preserve">“Backdoor in upstream xz/liblzma leading to ssh server compromise,”</w:t>
      </w:r>
      <w:r>
        <w:t xml:space="preserve"> </w:t>
      </w:r>
      <w:r>
        <w:t xml:space="preserve">oss-security, Mar. 29, 2024. Available:</w:t>
      </w:r>
      <w:r>
        <w:t xml:space="preserve"> </w:t>
      </w:r>
      <w:hyperlink r:id="rId81">
        <w:r>
          <w:rPr>
            <w:rStyle w:val="Hyperlink"/>
          </w:rPr>
          <w:t xml:space="preserve">https://www.openwall.com/lists/oss-security/2024/03/29/4</w:t>
        </w:r>
      </w:hyperlink>
      <w:r>
        <w:t xml:space="preserve"> </w:t>
      </w:r>
      <w:r>
        <w:t xml:space="preserve">CISA,</w:t>
      </w:r>
      <w:r>
        <w:t xml:space="preserve"> </w:t>
      </w:r>
      <w:r>
        <w:t xml:space="preserve">“Advanced Persistent Threat Compromise of Government Agencies, Critical Infrastructure, and Private Sector Organizations,”</w:t>
      </w:r>
      <w:r>
        <w:t xml:space="preserve"> </w:t>
      </w:r>
      <w:r>
        <w:t xml:space="preserve">Alert AA20-352A, Dec. 2020. Available:</w:t>
      </w:r>
      <w:r>
        <w:t xml:space="preserve"> </w:t>
      </w:r>
      <w:hyperlink r:id="rId82">
        <w:r>
          <w:rPr>
            <w:rStyle w:val="Hyperlink"/>
          </w:rPr>
          <w:t xml:space="preserve">https://www.cisa.gov/news-events/cybersecurity-advisories/aa20-352a</w:t>
        </w:r>
      </w:hyperlink>
      <w:r>
        <w:t xml:space="preserve"> </w:t>
      </w:r>
      <w:r>
        <w:t xml:space="preserve">FireEye,</w:t>
      </w:r>
      <w:r>
        <w:t xml:space="preserve"> </w:t>
      </w:r>
      <w:r>
        <w:t xml:space="preserve">“Highly Evasive Attacker Leverages SolarWinds Supply Chain to Compromise Multiple Global Victims With SUNBURST Backdoor,”</w:t>
      </w:r>
      <w:r>
        <w:t xml:space="preserve"> </w:t>
      </w:r>
      <w:r>
        <w:t xml:space="preserve">Dec. 2020.</w:t>
      </w:r>
      <w:r>
        <w:t xml:space="preserve"> </w:t>
      </w:r>
      <w:r>
        <w:t xml:space="preserve">Apache Software Foundation,</w:t>
      </w:r>
      <w:r>
        <w:t xml:space="preserve"> </w:t>
      </w:r>
      <w:r>
        <w:t xml:space="preserve">“Apache Log4j Security Vulnerabilities: CVE-2021-44228,”</w:t>
      </w:r>
      <w:r>
        <w:t xml:space="preserve"> </w:t>
      </w:r>
      <w:r>
        <w:t xml:space="preserve">2021. Available:</w:t>
      </w:r>
      <w:r>
        <w:t xml:space="preserve"> </w:t>
      </w:r>
      <w:hyperlink r:id="rId83">
        <w:r>
          <w:rPr>
            <w:rStyle w:val="Hyperlink"/>
          </w:rPr>
          <w:t xml:space="preserve">https://logging.apache.org/log4j/2.x/security.html</w:t>
        </w:r>
      </w:hyperlink>
      <w:r>
        <w:t xml:space="preserve"> </w:t>
      </w:r>
      <w:r>
        <w:t xml:space="preserve">NIST,</w:t>
      </w:r>
      <w:r>
        <w:t xml:space="preserve"> </w:t>
      </w:r>
      <w:r>
        <w:t xml:space="preserve">“CVE-2021-44228 Detail,”</w:t>
      </w:r>
      <w:r>
        <w:t xml:space="preserve"> </w:t>
      </w:r>
      <w:r>
        <w:t xml:space="preserve">NVD, 2021. Available:</w:t>
      </w:r>
      <w:r>
        <w:t xml:space="preserve"> </w:t>
      </w:r>
      <w:hyperlink r:id="rId84">
        <w:r>
          <w:rPr>
            <w:rStyle w:val="Hyperlink"/>
          </w:rPr>
          <w:t xml:space="preserve">https://nvd.nist.gov/vuln/detail/CVE-2021-44228</w:t>
        </w:r>
      </w:hyperlink>
      <w:r>
        <w:t xml:space="preserve"> </w:t>
      </w:r>
      <w:r>
        <w:t xml:space="preserve">Sysdig,</w:t>
      </w:r>
      <w:r>
        <w:t xml:space="preserve"> </w:t>
      </w:r>
      <w:r>
        <w:t xml:space="preserve">“Falco: Cloud Native Runtime Security,”</w:t>
      </w:r>
      <w:r>
        <w:t xml:space="preserve"> </w:t>
      </w:r>
      <w:r>
        <w:t xml:space="preserve">project documentation. Available:</w:t>
      </w:r>
      <w:r>
        <w:t xml:space="preserve"> </w:t>
      </w:r>
      <w:hyperlink r:id="rId85">
        <w:r>
          <w:rPr>
            <w:rStyle w:val="Hyperlink"/>
          </w:rPr>
          <w:t xml:space="preserve">https://falco.org/docs/</w:t>
        </w:r>
      </w:hyperlink>
      <w:r>
        <w:t xml:space="preserve"> </w:t>
      </w:r>
      <w:r>
        <w:t xml:space="preserve">Isovalent,</w:t>
      </w:r>
      <w:r>
        <w:t xml:space="preserve"> </w:t>
      </w:r>
      <w:r>
        <w:t xml:space="preserve">“Tetragon: eBPF-Based Security Observability and Runtime Enforcement,”</w:t>
      </w:r>
      <w:r>
        <w:t xml:space="preserve"> </w:t>
      </w:r>
      <w:r>
        <w:t xml:space="preserve">2023. Available:</w:t>
      </w:r>
      <w:r>
        <w:t xml:space="preserve"> </w:t>
      </w:r>
      <w:hyperlink r:id="rId86">
        <w:r>
          <w:rPr>
            <w:rStyle w:val="Hyperlink"/>
          </w:rPr>
          <w:t xml:space="preserve">https://tetragon.io/</w:t>
        </w:r>
      </w:hyperlink>
      <w:r>
        <w:t xml:space="preserve"> </w:t>
      </w:r>
      <w:r>
        <w:t xml:space="preserve">Aqua Security,</w:t>
      </w:r>
      <w:r>
        <w:t xml:space="preserve"> </w:t>
      </w:r>
      <w:r>
        <w:t xml:space="preserve">“Tracee: Linux Runtime Security and Forensics Using eBPF,”</w:t>
      </w:r>
      <w:r>
        <w:t xml:space="preserve"> </w:t>
      </w:r>
      <w:r>
        <w:t xml:space="preserve">project documentation. Available:</w:t>
      </w:r>
      <w:r>
        <w:t xml:space="preserve"> </w:t>
      </w:r>
      <w:hyperlink r:id="rId87">
        <w:r>
          <w:rPr>
            <w:rStyle w:val="Hyperlink"/>
          </w:rPr>
          <w:t xml:space="preserve">https://github.com/aquasecurity/tracee</w:t>
        </w:r>
      </w:hyperlink>
      <w:r>
        <w:t xml:space="preserve"> </w:t>
      </w:r>
      <w:r>
        <w:t xml:space="preserve">OWASP,</w:t>
      </w:r>
      <w:r>
        <w:t xml:space="preserve"> </w:t>
      </w:r>
      <w:r>
        <w:t xml:space="preserve">“CycloneDX Specification, Version 1.4,”</w:t>
      </w:r>
      <w:r>
        <w:t xml:space="preserve"> </w:t>
      </w:r>
      <w:r>
        <w:t xml:space="preserve">2022. Available:</w:t>
      </w:r>
      <w:r>
        <w:t xml:space="preserve"> </w:t>
      </w:r>
      <w:hyperlink r:id="rId88">
        <w:r>
          <w:rPr>
            <w:rStyle w:val="Hyperlink"/>
          </w:rPr>
          <w:t xml:space="preserve">https://cyclonedx.org/specification/archive/</w:t>
        </w:r>
      </w:hyperlink>
      <w:r>
        <w:t xml:space="preserve"> </w:t>
      </w:r>
      <w:r>
        <w:t xml:space="preserve">U.S. Department of Commerce,</w:t>
      </w:r>
      <w:r>
        <w:t xml:space="preserve"> </w:t>
      </w:r>
      <w:r>
        <w:t xml:space="preserve">“The Minimum Elements for a Software Bill of Materials,”</w:t>
      </w:r>
      <w:r>
        <w:t xml:space="preserve"> </w:t>
      </w:r>
      <w:r>
        <w:t xml:space="preserve">NTIA, 2021. Available:</w:t>
      </w:r>
      <w:r>
        <w:t xml:space="preserve"> </w:t>
      </w:r>
      <w:hyperlink r:id="rId89">
        <w:r>
          <w:rPr>
            <w:rStyle w:val="Hyperlink"/>
          </w:rPr>
          <w:t xml:space="preserve">https://www.ntia.gov/report/2021/minimum-elements-software-bill-materials-sbom</w:t>
        </w:r>
      </w:hyperlink>
      <w:r>
        <w:t xml:space="preserve"> </w:t>
      </w:r>
      <w:r>
        <w:t xml:space="preserve">Anchore,</w:t>
      </w:r>
      <w:r>
        <w:t xml:space="preserve"> </w:t>
      </w:r>
      <w:r>
        <w:t xml:space="preserve">“Anchore Enterprise: SBOM-Powered Software Supply Chain Security,”</w:t>
      </w:r>
      <w:r>
        <w:t xml:space="preserve"> </w:t>
      </w:r>
      <w:r>
        <w:t xml:space="preserve">product documentation. Available:</w:t>
      </w:r>
      <w:r>
        <w:t xml:space="preserve"> </w:t>
      </w:r>
      <w:hyperlink r:id="rId90">
        <w:r>
          <w:rPr>
            <w:rStyle w:val="Hyperlink"/>
          </w:rPr>
          <w:t xml:space="preserve">https://anchore.com/enterprise/</w:t>
        </w:r>
      </w:hyperlink>
      <w:r>
        <w:t xml:space="preserve"> </w:t>
      </w:r>
      <w:r>
        <w:t xml:space="preserve">Ox Security,</w:t>
      </w:r>
      <w:r>
        <w:t xml:space="preserve"> </w:t>
      </w:r>
      <w:r>
        <w:t xml:space="preserve">“Software Supply Chain Security Platform,”</w:t>
      </w:r>
      <w:r>
        <w:t xml:space="preserve"> </w:t>
      </w:r>
      <w:r>
        <w:t xml:space="preserve">product documentation. Available:</w:t>
      </w:r>
      <w:r>
        <w:t xml:space="preserve"> </w:t>
      </w:r>
      <w:hyperlink r:id="rId91">
        <w:r>
          <w:rPr>
            <w:rStyle w:val="Hyperlink"/>
          </w:rPr>
          <w:t xml:space="preserve">https://ox.security/</w:t>
        </w:r>
      </w:hyperlink>
      <w:r>
        <w:t xml:space="preserve"> </w:t>
      </w:r>
      <w:r>
        <w:t xml:space="preserve">Y. Chen et al.,</w:t>
      </w:r>
      <w:r>
        <w:t xml:space="preserve"> </w:t>
      </w:r>
      <w:r>
        <w:t xml:space="preserve">“Automatic Root Cause Analysis via Large Language Models for Cloud Incidents,”</w:t>
      </w:r>
      <w:r>
        <w:t xml:space="preserve"> </w:t>
      </w:r>
      <w:r>
        <w:t xml:space="preserve">in Proc. EuroSys, 2024, pp. 674–688.</w:t>
      </w:r>
      <w:r>
        <w:t xml:space="preserve"> </w:t>
      </w:r>
      <w:r>
        <w:t xml:space="preserve">J. Pearl,</w:t>
      </w:r>
      <w:r>
        <w:t xml:space="preserve"> </w:t>
      </w:r>
      <w:r>
        <w:rPr>
          <w:i/>
          <w:iCs/>
        </w:rPr>
        <w:t xml:space="preserve">Causality: Models, Reasoning, and Inference</w:t>
      </w:r>
      <w:r>
        <w:t xml:space="preserve">, 2nd ed. Cambridge University Press, 2009.</w:t>
      </w:r>
      <w:r>
        <w:t xml:space="preserve"> </w:t>
      </w:r>
      <w:r>
        <w:t xml:space="preserve">A. Sharma and E. Kiciman,</w:t>
      </w:r>
      <w:r>
        <w:t xml:space="preserve"> </w:t>
      </w:r>
      <w:r>
        <w:t xml:space="preserve">“DoWhy: An End-to-End Library for Causal Inference,”</w:t>
      </w:r>
      <w:r>
        <w:t xml:space="preserve"> </w:t>
      </w:r>
      <w:r>
        <w:t xml:space="preserve">arXiv:2011.04216, 2020. Available:</w:t>
      </w:r>
      <w:r>
        <w:t xml:space="preserve"> </w:t>
      </w:r>
      <w:hyperlink r:id="rId92">
        <w:r>
          <w:rPr>
            <w:rStyle w:val="Hyperlink"/>
          </w:rPr>
          <w:t xml:space="preserve">https://arxiv.org/abs/2011.04216</w:t>
        </w:r>
      </w:hyperlink>
      <w:r>
        <w:t xml:space="preserve"> </w:t>
      </w:r>
      <w:r>
        <w:t xml:space="preserve">Google,</w:t>
      </w:r>
      <w:r>
        <w:t xml:space="preserve"> </w:t>
      </w:r>
      <w:r>
        <w:t xml:space="preserve">“Online Boutique: Cloud-Native Microservices Demo.”</w:t>
      </w:r>
      <w:r>
        <w:t xml:space="preserve"> </w:t>
      </w:r>
      <w:r>
        <w:t xml:space="preserve">Available:</w:t>
      </w:r>
      <w:r>
        <w:t xml:space="preserve"> </w:t>
      </w:r>
      <w:hyperlink r:id="rId93">
        <w:r>
          <w:rPr>
            <w:rStyle w:val="Hyperlink"/>
          </w:rPr>
          <w:t xml:space="preserve">https://github.com/GoogleCloudPlatform/microservices-demo</w:t>
        </w:r>
      </w:hyperlink>
      <w:r>
        <w:t xml:space="preserve"> </w:t>
      </w:r>
      <w:r>
        <w:t xml:space="preserve">DARPA,</w:t>
      </w:r>
      <w:r>
        <w:t xml:space="preserve"> </w:t>
      </w:r>
      <w:r>
        <w:t xml:space="preserve">“Transparent Computing Program: Data and Resources.”</w:t>
      </w:r>
      <w:r>
        <w:t xml:space="preserve"> </w:t>
      </w:r>
      <w:r>
        <w:t xml:space="preserve">Available:</w:t>
      </w:r>
      <w:r>
        <w:t xml:space="preserve"> </w:t>
      </w:r>
      <w:hyperlink r:id="rId94">
        <w:r>
          <w:rPr>
            <w:rStyle w:val="Hyperlink"/>
          </w:rPr>
          <w:t xml:space="preserve">https://www.darpa.mil/research/programs/transparent-computing</w:t>
        </w:r>
      </w:hyperlink>
      <w:r>
        <w:t xml:space="preserve"> </w:t>
      </w:r>
      <w:r>
        <w:t xml:space="preserve">AccuKnox,</w:t>
      </w:r>
      <w:r>
        <w:t xml:space="preserve"> </w:t>
      </w:r>
      <w:r>
        <w:t xml:space="preserve">“KubeArmor: Container-Aware AppArmor, SELinux, and BPF Security.”</w:t>
      </w:r>
      <w:r>
        <w:t xml:space="preserve"> </w:t>
      </w:r>
      <w:r>
        <w:t xml:space="preserve">Available:</w:t>
      </w:r>
      <w:r>
        <w:t xml:space="preserve"> </w:t>
      </w:r>
      <w:hyperlink r:id="rId95">
        <w:r>
          <w:rPr>
            <w:rStyle w:val="Hyperlink"/>
          </w:rPr>
          <w:t xml:space="preserve">https://kubearmor.io/</w:t>
        </w:r>
      </w:hyperlink>
      <w:r>
        <w:t xml:space="preserve"> </w:t>
      </w:r>
      <w:r>
        <w:t xml:space="preserve">Anchore,</w:t>
      </w:r>
      <w:r>
        <w:t xml:space="preserve"> </w:t>
      </w:r>
      <w:r>
        <w:t xml:space="preserve">“Syft: Generate a Software Bill of Materials from Container Images and Filesystems.”</w:t>
      </w:r>
      <w:r>
        <w:t xml:space="preserve"> </w:t>
      </w:r>
      <w:r>
        <w:t xml:space="preserve">Available:</w:t>
      </w:r>
      <w:r>
        <w:t xml:space="preserve"> </w:t>
      </w:r>
      <w:hyperlink r:id="rId96">
        <w:r>
          <w:rPr>
            <w:rStyle w:val="Hyperlink"/>
          </w:rPr>
          <w:t xml:space="preserve">https://github.com/anchore/syft</w:t>
        </w:r>
      </w:hyperlink>
      <w:r>
        <w:t xml:space="preserve"> </w:t>
      </w:r>
      <w:r>
        <w:t xml:space="preserve">Sigstore,</w:t>
      </w:r>
      <w:r>
        <w:t xml:space="preserve"> </w:t>
      </w:r>
      <w:r>
        <w:t xml:space="preserve">“Cosign: Container Signing, Verification, and Storage.”</w:t>
      </w:r>
      <w:r>
        <w:t xml:space="preserve"> </w:t>
      </w:r>
      <w:r>
        <w:t xml:space="preserve">Available:</w:t>
      </w:r>
      <w:r>
        <w:t xml:space="preserve"> </w:t>
      </w:r>
      <w:hyperlink r:id="rId97">
        <w:r>
          <w:rPr>
            <w:rStyle w:val="Hyperlink"/>
          </w:rPr>
          <w:t xml:space="preserve">https://docs.sigstore.dev/cosign/</w:t>
        </w:r>
      </w:hyperlink>
      <w:r>
        <w:t xml:space="preserve"> </w:t>
      </w:r>
      <w:r>
        <w:t xml:space="preserve">eBPF Foundation,</w:t>
      </w:r>
      <w:r>
        <w:t xml:space="preserve"> </w:t>
      </w:r>
      <w:r>
        <w:t xml:space="preserve">“What is eBPF?”</w:t>
      </w:r>
      <w:r>
        <w:t xml:space="preserve"> </w:t>
      </w:r>
      <w:r>
        <w:t xml:space="preserve">Available:</w:t>
      </w:r>
      <w:r>
        <w:t xml:space="preserve"> </w:t>
      </w:r>
      <w:hyperlink r:id="rId98">
        <w:r>
          <w:rPr>
            <w:rStyle w:val="Hyperlink"/>
          </w:rPr>
          <w:t xml:space="preserve">https://ebpf.io/what-is-ebpf/</w:t>
        </w:r>
      </w:hyperlink>
      <w:r>
        <w:t xml:space="preserve"> </w:t>
      </w:r>
      <w:r>
        <w:t xml:space="preserve">A. A. Hagberg, D. A. Schult, and P. J. Swart,</w:t>
      </w:r>
      <w:r>
        <w:t xml:space="preserve"> </w:t>
      </w:r>
      <w:r>
        <w:t xml:space="preserve">“Exploring network structure, dynamics, and function using NetworkX,”</w:t>
      </w:r>
      <w:r>
        <w:t xml:space="preserve"> </w:t>
      </w:r>
      <w:r>
        <w:t xml:space="preserve">Proc. SciPy, 2008, pp. 11–15.</w:t>
      </w:r>
      <w:r>
        <w:t xml:space="preserve"> </w:t>
      </w:r>
      <w:r>
        <w:t xml:space="preserve">T. Chen and C. Guestrin,</w:t>
      </w:r>
      <w:r>
        <w:t xml:space="preserve"> </w:t>
      </w:r>
      <w:r>
        <w:t xml:space="preserve">“XGBoost: A scalable tree boosting system,”</w:t>
      </w:r>
      <w:r>
        <w:t xml:space="preserve"> </w:t>
      </w:r>
      <w:r>
        <w:t xml:space="preserve">Proc. ACM SIGKDD, 2016, pp. 785–794.</w:t>
      </w:r>
      <w:r>
        <w:t xml:space="preserve"> </w:t>
      </w:r>
      <w:r>
        <w:t xml:space="preserve">J. Platt,</w:t>
      </w:r>
      <w:r>
        <w:t xml:space="preserve"> </w:t>
      </w:r>
      <w:r>
        <w:t xml:space="preserve">“Probabilistic outputs for support vector machines and comparisons to regularized likelihood methods,”</w:t>
      </w:r>
      <w:r>
        <w:t xml:space="preserve"> </w:t>
      </w:r>
      <w:r>
        <w:t xml:space="preserve">in</w:t>
      </w:r>
      <w:r>
        <w:t xml:space="preserve"> </w:t>
      </w:r>
      <w:r>
        <w:rPr>
          <w:i/>
          <w:iCs/>
        </w:rPr>
        <w:t xml:space="preserve">Advances in Large Margin Classifiers</w:t>
      </w:r>
      <w:r>
        <w:t xml:space="preserve">, 1999, pp. 61–74.</w:t>
      </w:r>
      <w:r>
        <w:t xml:space="preserve"> </w:t>
      </w:r>
      <w:r>
        <w:t xml:space="preserve">Package-URL Working Group,</w:t>
      </w:r>
      <w:r>
        <w:t xml:space="preserve"> </w:t>
      </w:r>
      <w:r>
        <w:t xml:space="preserve">“Package URL Specification.”</w:t>
      </w:r>
      <w:r>
        <w:t xml:space="preserve"> </w:t>
      </w:r>
      <w:r>
        <w:t xml:space="preserve">Available:</w:t>
      </w:r>
      <w:r>
        <w:t xml:space="preserve"> </w:t>
      </w:r>
      <w:hyperlink r:id="rId99">
        <w:r>
          <w:rPr>
            <w:rStyle w:val="Hyperlink"/>
          </w:rPr>
          <w:t xml:space="preserve">https://github.com/package-url/purl-spec</w:t>
        </w:r>
      </w:hyperlink>
      <w:r>
        <w:t xml:space="preserve"> </w:t>
      </w:r>
      <w:r>
        <w:t xml:space="preserve">Sigstore,</w:t>
      </w:r>
      <w:r>
        <w:t xml:space="preserve"> </w:t>
      </w:r>
      <w:r>
        <w:t xml:space="preserve">“Cosign Documentation: Signing Containers.”</w:t>
      </w:r>
      <w:r>
        <w:t xml:space="preserve"> </w:t>
      </w:r>
      <w:r>
        <w:t xml:space="preserve">Available:</w:t>
      </w:r>
      <w:r>
        <w:t xml:space="preserve"> </w:t>
      </w:r>
      <w:hyperlink r:id="rId100">
        <w:r>
          <w:rPr>
            <w:rStyle w:val="Hyperlink"/>
          </w:rPr>
          <w:t xml:space="preserve">https://docs.sigstore.dev/cosign/signing/signing_containers/</w:t>
        </w:r>
      </w:hyperlink>
      <w:r>
        <w:t xml:space="preserve"> </w:t>
      </w:r>
      <w:r>
        <w:t xml:space="preserve">Linux Foundation,</w:t>
      </w:r>
      <w:r>
        <w:t xml:space="preserve"> </w:t>
      </w:r>
      <w:r>
        <w:t xml:space="preserve">“libbpf: BPF CO-RE Reference Guide.”</w:t>
      </w:r>
      <w:r>
        <w:t xml:space="preserve"> </w:t>
      </w:r>
      <w:r>
        <w:t xml:space="preserve">Available:</w:t>
      </w:r>
      <w:r>
        <w:t xml:space="preserve"> </w:t>
      </w:r>
      <w:hyperlink r:id="rId101">
        <w:r>
          <w:rPr>
            <w:rStyle w:val="Hyperlink"/>
          </w:rPr>
          <w:t xml:space="preserve">https://github.com/libbpf/libbpf</w:t>
        </w:r>
      </w:hyperlink>
      <w:r>
        <w:t xml:space="preserve"> </w:t>
      </w:r>
      <w:r>
        <w:t xml:space="preserve">N. Srinivasan, N. Naveen, and N. Naveen,</w:t>
      </w:r>
      <w:r>
        <w:t xml:space="preserve"> </w:t>
      </w:r>
      <w:r>
        <w:t xml:space="preserve">“Bomfather: An eBPF-based Kernel-level Monitoring Framework for Accurate Identification of Unknown, Unused, and Dynamically Loaded Dependencies in Modern Software Supply Chains,”</w:t>
      </w:r>
      <w:r>
        <w:t xml:space="preserve"> </w:t>
      </w:r>
      <w:r>
        <w:t xml:space="preserve">arXiv:2503.02097, 2025. Available:</w:t>
      </w:r>
      <w:r>
        <w:t xml:space="preserve"> </w:t>
      </w:r>
      <w:hyperlink r:id="rId102">
        <w:r>
          <w:rPr>
            <w:rStyle w:val="Hyperlink"/>
          </w:rPr>
          <w:t xml:space="preserve">https://arxiv.org/abs/2503.02097</w:t>
        </w:r>
      </w:hyperlink>
      <w:r>
        <w:t xml:space="preserve"> </w:t>
      </w:r>
      <w:r>
        <w:t xml:space="preserve">A. Crawford, E. Yakubovich, and R. Szumski,</w:t>
      </w:r>
      <w:r>
        <w:t xml:space="preserve"> </w:t>
      </w:r>
      <w:r>
        <w:t xml:space="preserve">“Enforcing SBOMs through the Linux kernel with eBPF and IMA,”</w:t>
      </w:r>
      <w:r>
        <w:t xml:space="preserve"> </w:t>
      </w:r>
      <w:r>
        <w:t xml:space="preserve">Proc. ACM SCORED, 2023, pp. 77–78, doi: 10.1145/3605770.3625206.</w:t>
      </w:r>
    </w:p>
    <w:bookmarkEnd w:id="103"/>
    <w:bookmarkStart w:id="106" w:name="algorithm-and-reproducibility-checklist"/>
    <w:p>
      <w:pPr>
        <w:pStyle w:val="Heading1"/>
      </w:pPr>
      <w:r>
        <w:t xml:space="preserve">Algorithm and Reproducibility Checklist</w:t>
      </w:r>
    </w:p>
    <w:bookmarkStart w:id="104" w:name="evidence-gated-processing"/>
    <w:p>
      <w:pPr>
        <w:pStyle w:val="Heading2"/>
      </w:pPr>
      <w:r>
        <w:t xml:space="preserve">Evidence-Gated Processing</w:t>
      </w:r>
    </w:p>
    <w:p>
      <w:pPr>
        <w:pStyle w:val="SourceCode"/>
      </w:pPr>
      <w:r>
        <w:rPr>
          <w:rStyle w:val="VerbatimChar"/>
        </w:rPr>
        <w:t xml:space="preserve">verify SBOM digest and signature; reject invalid artifact</w:t>
      </w:r>
      <w:r>
        <w:br/>
      </w:r>
      <w:r>
        <w:rPr>
          <w:rStyle w:val="VerbatimChar"/>
        </w:rPr>
        <w:t xml:space="preserve">normalize supported events; resolve runtime identity</w:t>
      </w:r>
      <w:r>
        <w:br/>
      </w:r>
      <w:r>
        <w:rPr>
          <w:rStyle w:val="VerbatimChar"/>
        </w:rPr>
        <w:t xml:space="preserve">if evidence supports component PURL: associate event</w:t>
      </w:r>
      <w:r>
        <w:br/>
      </w:r>
      <w:r>
        <w:rPr>
          <w:rStyle w:val="VerbatimChar"/>
        </w:rPr>
        <w:t xml:space="preserve">else: preserve unresolved identity</w:t>
      </w:r>
      <w:r>
        <w:br/>
      </w:r>
      <w:r>
        <w:rPr>
          <w:rStyle w:val="VerbatimChar"/>
        </w:rPr>
        <w:t xml:space="preserve">if valid contract exists: compute KL and novelty</w:t>
      </w:r>
      <w:r>
        <w:br/>
      </w:r>
      <w:r>
        <w:rPr>
          <w:rStyle w:val="VerbatimChar"/>
        </w:rPr>
        <w:t xml:space="preserve">else: mark contract comparison unavailable</w:t>
      </w:r>
      <w:r>
        <w:br/>
      </w:r>
      <w:r>
        <w:rPr>
          <w:rStyle w:val="VerbatimChar"/>
        </w:rPr>
        <w:t xml:space="preserve">update typed BDG; ignore duplicate UUID; decay edge weights</w:t>
      </w:r>
      <w:r>
        <w:br/>
      </w:r>
      <w:r>
        <w:rPr>
          <w:rStyle w:val="VerbatimChar"/>
        </w:rPr>
        <w:t xml:space="preserve">if causal eligibility checks pass: estimate and refute with DoWhy</w:t>
      </w:r>
      <w:r>
        <w:br/>
      </w:r>
      <w:r>
        <w:rPr>
          <w:rStyle w:val="VerbatimChar"/>
        </w:rPr>
        <w:t xml:space="preserve">else: return not_identifiable with diagnostic</w:t>
      </w:r>
      <w:r>
        <w:br/>
      </w:r>
      <w:r>
        <w:rPr>
          <w:rStyle w:val="VerbatimChar"/>
        </w:rPr>
        <w:t xml:space="preserve">if PCEPS model and calibration exist: compute bounded score</w:t>
      </w:r>
      <w:r>
        <w:br/>
      </w:r>
      <w:r>
        <w:rPr>
          <w:rStyle w:val="VerbatimChar"/>
        </w:rPr>
        <w:t xml:space="preserve">else: mark PCEPS unavailable</w:t>
      </w:r>
      <w:r>
        <w:br/>
      </w:r>
      <w:r>
        <w:rPr>
          <w:rStyle w:val="VerbatimChar"/>
        </w:rPr>
        <w:t xml:space="preserve">generate report from available evidence</w:t>
      </w:r>
    </w:p>
    <w:bookmarkEnd w:id="104"/>
    <w:bookmarkStart w:id="105" w:name="reproducibility-checklist"/>
    <w:p>
      <w:pPr>
        <w:pStyle w:val="Heading2"/>
      </w:pPr>
      <w:r>
        <w:t xml:space="preserve">Reproducibility Checklist</w:t>
      </w:r>
    </w:p>
    <w:p>
      <w:pPr>
        <w:pStyle w:val="FirstParagraph"/>
      </w:pPr>
      <w:r>
        <w:t xml:space="preserve">Record the following fields for each run:</w:t>
      </w:r>
    </w:p>
    <w:p>
      <w:pPr>
        <w:numPr>
          <w:ilvl w:val="0"/>
          <w:numId w:val="1003"/>
        </w:numPr>
      </w:pPr>
      <w:r>
        <w:t xml:space="preserve">Host type, operating system, CPU, memory, and kernel version.</w:t>
      </w:r>
    </w:p>
    <w:p>
      <w:pPr>
        <w:numPr>
          <w:ilvl w:val="0"/>
          <w:numId w:val="1003"/>
        </w:numPr>
      </w:pPr>
      <w:r>
        <w:t xml:space="preserve">Kubernetes and container runtime versions; collector, Python, and DoWhy versions.</w:t>
      </w:r>
    </w:p>
    <w:p>
      <w:pPr>
        <w:numPr>
          <w:ilvl w:val="0"/>
          <w:numId w:val="1003"/>
        </w:numPr>
      </w:pPr>
      <w:r>
        <w:t xml:space="preserve">Experiment commit, image and SBOM digests, and contract interval and settings.</w:t>
      </w:r>
    </w:p>
    <w:p>
      <w:pPr>
        <w:numPr>
          <w:ilvl w:val="0"/>
          <w:numId w:val="1003"/>
        </w:numPr>
      </w:pPr>
      <w:r>
        <w:t xml:space="preserve">Target PURL, independent labels, attack and control versions, and baseline configurations.</w:t>
      </w:r>
    </w:p>
    <w:p>
      <w:pPr>
        <w:numPr>
          <w:ilvl w:val="0"/>
          <w:numId w:val="1003"/>
        </w:numPr>
      </w:pPr>
      <w:r>
        <w:t xml:space="preserve">Raw outputs, PCEPS model and calibration digests, timestamps, event loss, resource samples, and cost records.</w:t>
      </w:r>
    </w:p>
    <w:p>
      <w:pPr>
        <w:pStyle w:val="FirstParagraph"/>
      </w:pPr>
      <w:r>
        <w:t xml:space="preserve">The current raw3 records lack several of these fields.</w:t>
      </w:r>
    </w:p>
    <w:bookmarkEnd w:id="105"/>
    <w:bookmarkEnd w:id="106"/>
    <w:sectPr w:rsidR="002423DA" w:rsidSect="008B72D3">
      <w:footerReference r:id="rId8" w:type="default"/>
      <w:pgSz w:h="16840" w:w="11900"/>
      <w:pgMar w:bottom="280" w:footer="720" w:gutter="0" w:header="720" w:left="1680" w:right="1320" w:top="138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D1799" w14:textId="77777777" w:rsidR="00C20248" w:rsidRDefault="00C20248">
    <w:pPr>
      <w:pStyle w:val="Footer"/>
      <w:jc w:val="center"/>
    </w:pPr>
  </w:p>
  <w:p w14:paraId="36CF2C3D" w14:textId="77777777" w:rsidR="002423DA" w:rsidRDefault="002423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570169"/>
      <w:docPartObj>
        <w:docPartGallery w:val="Page Numbers (Bottom of Page)"/>
        <w:docPartUnique/>
      </w:docPartObj>
    </w:sdtPr>
    <w:sdtEndPr>
      <w:rPr>
        <w:noProof/>
      </w:rPr>
    </w:sdtEndPr>
    <w:sdtContent>
      <w:p w14:paraId="3E171235" w14:textId="77777777" w:rsidR="00C20248" w:rsidRDefault="00C20248">
        <w:pPr>
          <w:pStyle w:val="Footer"/>
          <w:jc w:val="center"/>
        </w:pPr>
        <w:r>
          <w:fldChar w:fldCharType="begin"/>
        </w:r>
        <w:r>
          <w:instrText xml:space="preserve"> PAGE   \* MERGEFORMAT </w:instrText>
        </w:r>
        <w:r>
          <w:fldChar w:fldCharType="separate"/>
        </w:r>
        <w:r w:rsidR="00F71803">
          <w:rPr>
            <w:noProof/>
          </w:rPr>
          <w:t>iii</w:t>
        </w:r>
        <w:r>
          <w:rPr>
            <w:noProof/>
          </w:rPr>
          <w:fldChar w:fldCharType="end"/>
        </w:r>
      </w:p>
    </w:sdtContent>
  </w:sdt>
  <w:p w14:paraId="16225FBC" w14:textId="77777777" w:rsidR="00C20248" w:rsidRDefault="00C20248">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7F5A" w14:textId="77777777" w:rsidR="004562F9" w:rsidRDefault="00563F5E">
    <w:pPr>
      <w:pStyle w:val="BodyText"/>
      <w:spacing w:line="14" w:lineRule="auto"/>
      <w:rPr>
        <w:b/>
        <w:sz w:val="20"/>
      </w:rPr>
    </w:pPr>
    <w:r>
      <w:rPr>
        <w:b/>
        <w:noProof/>
        <w:sz w:val="26"/>
        <w:lang w:val="en-IN" w:eastAsia="en-IN"/>
      </w:rPr>
      <mc:AlternateContent>
        <mc:Choice Requires="wps">
          <w:drawing>
            <wp:anchor distT="0" distB="0" distL="114300" distR="114300" simplePos="0" relativeHeight="251658240" behindDoc="1" locked="0" layoutInCell="1" allowOverlap="1" wp14:anchorId="28AB78F1" wp14:editId="554B6D85">
              <wp:simplePos x="0" y="0"/>
              <wp:positionH relativeFrom="page">
                <wp:posOffset>1663700</wp:posOffset>
              </wp:positionH>
              <wp:positionV relativeFrom="page">
                <wp:posOffset>906145</wp:posOffset>
              </wp:positionV>
              <wp:extent cx="4231640" cy="8210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1640" cy="821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B57B74" w14:textId="77777777" w:rsidR="004562F9" w:rsidRDefault="004562F9">
                          <w:pPr>
                            <w:spacing w:before="178"/>
                            <w:ind w:left="4" w:right="2"/>
                            <w:jc w:val="cente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31pt;margin-top:71.35pt;width:333.2pt;height:64.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" filled="f" stroked="f">
              <v:textbox inset="0,0,0,0">
                <w:txbxContent>
                  <w:p w:rsidR="00F5766F" w:rsidRDefault="00351AFF">
                    <w:pPr>
                      <w:spacing w:before="178"/>
                      <w:ind w:left="4" w:right="2"/>
                      <w:jc w:val="center"/>
                      <w:rPr>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D131" w14:textId="77777777" w:rsidR="004562F9" w:rsidRDefault="004562F9">
    <w:pPr>
      <w:pStyle w:val="BodyText"/>
      <w:spacing w:line="14" w:lineRule="auto"/>
      <w:rPr>
        <w:b/>
        <w:sz w:val="20"/>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3B2F71"/>
    <w:multiLevelType w:val="hybridMultilevel"/>
    <w:tmpl w:val="659C8F56"/>
    <w:lvl w:ilvl="0" w:tplc="4009000F">
      <w:start w:val="1"/>
      <w:numFmt w:val="decimal"/>
      <w:lvlText w:val="%1."/>
      <w:lvlJc w:val="left"/>
      <w:pPr>
        <w:ind w:hanging="360" w:left="720"/>
      </w:pPr>
    </w:lvl>
    <w:lvl w:ilvl="1" w:tentative="1" w:tplc="40090019">
      <w:start w:val="1"/>
      <w:numFmt w:val="lowerLetter"/>
      <w:lvlText w:val="%2."/>
      <w:lvlJc w:val="left"/>
      <w:pPr>
        <w:ind w:hanging="360" w:left="1440"/>
      </w:pPr>
    </w:lvl>
    <w:lvl w:ilvl="2" w:tentative="1" w:tplc="4009001B">
      <w:start w:val="1"/>
      <w:numFmt w:val="lowerRoman"/>
      <w:lvlText w:val="%3."/>
      <w:lvlJc w:val="right"/>
      <w:pPr>
        <w:ind w:hanging="180" w:left="2160"/>
      </w:pPr>
    </w:lvl>
    <w:lvl w:ilvl="3" w:tentative="1" w:tplc="4009000F">
      <w:start w:val="1"/>
      <w:numFmt w:val="decimal"/>
      <w:lvlText w:val="%4."/>
      <w:lvlJc w:val="left"/>
      <w:pPr>
        <w:ind w:hanging="360" w:left="2880"/>
      </w:pPr>
    </w:lvl>
    <w:lvl w:ilvl="4" w:tentative="1" w:tplc="40090019">
      <w:start w:val="1"/>
      <w:numFmt w:val="lowerLetter"/>
      <w:lvlText w:val="%5."/>
      <w:lvlJc w:val="left"/>
      <w:pPr>
        <w:ind w:hanging="360" w:left="3600"/>
      </w:pPr>
    </w:lvl>
    <w:lvl w:ilvl="5" w:tentative="1" w:tplc="4009001B">
      <w:start w:val="1"/>
      <w:numFmt w:val="lowerRoman"/>
      <w:lvlText w:val="%6."/>
      <w:lvlJc w:val="right"/>
      <w:pPr>
        <w:ind w:hanging="180" w:left="4320"/>
      </w:pPr>
    </w:lvl>
    <w:lvl w:ilvl="6" w:tentative="1" w:tplc="4009000F">
      <w:start w:val="1"/>
      <w:numFmt w:val="decimal"/>
      <w:lvlText w:val="%7."/>
      <w:lvlJc w:val="left"/>
      <w:pPr>
        <w:ind w:hanging="360" w:left="5040"/>
      </w:pPr>
    </w:lvl>
    <w:lvl w:ilvl="7" w:tentative="1" w:tplc="40090019">
      <w:start w:val="1"/>
      <w:numFmt w:val="lowerLetter"/>
      <w:lvlText w:val="%8."/>
      <w:lvlJc w:val="left"/>
      <w:pPr>
        <w:ind w:hanging="360" w:left="5760"/>
      </w:pPr>
    </w:lvl>
    <w:lvl w:ilvl="8" w:tentative="1" w:tplc="4009001B">
      <w:start w:val="1"/>
      <w:numFmt w:val="lowerRoman"/>
      <w:lvlText w:val="%9."/>
      <w:lvlJc w:val="right"/>
      <w:pPr>
        <w:ind w:hanging="180" w:left="6480"/>
      </w:pPr>
    </w:lvl>
  </w:abstractNum>
  <w:abstractNum w15:restartNumberingAfterBreak="0" w:abstractNumId="1">
    <w:nsid w:val="079A59B2"/>
    <w:multiLevelType w:val="multilevel"/>
    <w:tmpl w:val="C67E66CA"/>
    <w:lvl w:ilvl="0">
      <w:start w:val="3"/>
      <w:numFmt w:val="decimal"/>
      <w:lvlText w:val="%1"/>
      <w:lvlJc w:val="left"/>
      <w:pPr>
        <w:ind w:hanging="720" w:left="920"/>
      </w:pPr>
      <w:rPr>
        <w:rFonts w:hint="default"/>
        <w:lang w:bidi="ar-SA" w:eastAsia="en-US" w:val="en-US"/>
      </w:rPr>
    </w:lvl>
    <w:lvl w:ilvl="1">
      <w:start w:val="1"/>
      <w:numFmt w:val="decimal"/>
      <w:lvlText w:val="%1.%2"/>
      <w:lvlJc w:val="left"/>
      <w:pPr>
        <w:ind w:hanging="720" w:left="920"/>
      </w:pPr>
      <w:rPr>
        <w:rFonts w:hint="default"/>
        <w:lang w:bidi="ar-SA" w:eastAsia="en-US" w:val="en-US"/>
      </w:rPr>
    </w:lvl>
    <w:lvl w:ilvl="2">
      <w:start w:val="1"/>
      <w:numFmt w:val="decimal"/>
      <w:lvlText w:val="%1.%2.%3"/>
      <w:lvlJc w:val="left"/>
      <w:pPr>
        <w:ind w:hanging="720" w:left="920"/>
      </w:pPr>
      <w:rPr>
        <w:rFonts w:ascii="Times New Roman" w:cs="Times New Roman" w:eastAsia="Times New Roman" w:hAnsi="Times New Roman" w:hint="default"/>
        <w:b/>
        <w:bCs/>
        <w:i/>
        <w:iCs/>
        <w:w w:val="100"/>
        <w:sz w:val="24"/>
        <w:szCs w:val="24"/>
        <w:lang w:bidi="ar-SA" w:eastAsia="en-US" w:val="en-US"/>
      </w:rPr>
    </w:lvl>
    <w:lvl w:ilvl="3">
      <w:numFmt w:val="bullet"/>
      <w:lvlText w:val="•"/>
      <w:lvlJc w:val="left"/>
      <w:pPr>
        <w:ind w:hanging="720" w:left="3447"/>
      </w:pPr>
      <w:rPr>
        <w:rFonts w:hint="default"/>
        <w:lang w:bidi="ar-SA" w:eastAsia="en-US" w:val="en-US"/>
      </w:rPr>
    </w:lvl>
    <w:lvl w:ilvl="4">
      <w:numFmt w:val="bullet"/>
      <w:lvlText w:val="•"/>
      <w:lvlJc w:val="left"/>
      <w:pPr>
        <w:ind w:hanging="720" w:left="4290"/>
      </w:pPr>
      <w:rPr>
        <w:rFonts w:hint="default"/>
        <w:lang w:bidi="ar-SA" w:eastAsia="en-US" w:val="en-US"/>
      </w:rPr>
    </w:lvl>
    <w:lvl w:ilvl="5">
      <w:numFmt w:val="bullet"/>
      <w:lvlText w:val="•"/>
      <w:lvlJc w:val="left"/>
      <w:pPr>
        <w:ind w:hanging="720" w:left="5133"/>
      </w:pPr>
      <w:rPr>
        <w:rFonts w:hint="default"/>
        <w:lang w:bidi="ar-SA" w:eastAsia="en-US" w:val="en-US"/>
      </w:rPr>
    </w:lvl>
    <w:lvl w:ilvl="6">
      <w:numFmt w:val="bullet"/>
      <w:lvlText w:val="•"/>
      <w:lvlJc w:val="left"/>
      <w:pPr>
        <w:ind w:hanging="720" w:left="5975"/>
      </w:pPr>
      <w:rPr>
        <w:rFonts w:hint="default"/>
        <w:lang w:bidi="ar-SA" w:eastAsia="en-US" w:val="en-US"/>
      </w:rPr>
    </w:lvl>
    <w:lvl w:ilvl="7">
      <w:numFmt w:val="bullet"/>
      <w:lvlText w:val="•"/>
      <w:lvlJc w:val="left"/>
      <w:pPr>
        <w:ind w:hanging="720" w:left="6818"/>
      </w:pPr>
      <w:rPr>
        <w:rFonts w:hint="default"/>
        <w:lang w:bidi="ar-SA" w:eastAsia="en-US" w:val="en-US"/>
      </w:rPr>
    </w:lvl>
    <w:lvl w:ilvl="8">
      <w:numFmt w:val="bullet"/>
      <w:lvlText w:val="•"/>
      <w:lvlJc w:val="left"/>
      <w:pPr>
        <w:ind w:hanging="720" w:left="7661"/>
      </w:pPr>
      <w:rPr>
        <w:rFonts w:hint="default"/>
        <w:lang w:bidi="ar-SA" w:eastAsia="en-US" w:val="en-US"/>
      </w:rPr>
    </w:lvl>
  </w:abstractNum>
  <w:abstractNum w15:restartNumberingAfterBreak="0" w:abstractNumId="2">
    <w:nsid w:val="0AD3620F"/>
    <w:multiLevelType w:val="multilevel"/>
    <w:tmpl w:val="38661AD8"/>
    <w:lvl w:ilvl="0">
      <w:start w:val="2"/>
      <w:numFmt w:val="decimal"/>
      <w:lvlText w:val="%1"/>
      <w:lvlJc w:val="left"/>
      <w:pPr>
        <w:ind w:hanging="360" w:left="360"/>
      </w:pPr>
      <w:rPr>
        <w:rFonts w:hint="default"/>
        <w:b w:val="0"/>
      </w:rPr>
    </w:lvl>
    <w:lvl w:ilvl="1">
      <w:start w:val="1"/>
      <w:numFmt w:val="decimal"/>
      <w:lvlText w:val="%1.%2"/>
      <w:lvlJc w:val="left"/>
      <w:pPr>
        <w:ind w:hanging="360" w:left="360"/>
      </w:pPr>
      <w:rPr>
        <w:rFonts w:hint="default"/>
        <w:b w:val="0"/>
      </w:rPr>
    </w:lvl>
    <w:lvl w:ilvl="2">
      <w:start w:val="1"/>
      <w:numFmt w:val="decimal"/>
      <w:lvlText w:val="%1.%2.%3"/>
      <w:lvlJc w:val="left"/>
      <w:pPr>
        <w:ind w:hanging="720" w:left="720"/>
      </w:pPr>
      <w:rPr>
        <w:rFonts w:hint="default"/>
        <w:b w:val="0"/>
      </w:rPr>
    </w:lvl>
    <w:lvl w:ilvl="3">
      <w:start w:val="1"/>
      <w:numFmt w:val="decimal"/>
      <w:lvlText w:val="%1.%2.%3.%4"/>
      <w:lvlJc w:val="left"/>
      <w:pPr>
        <w:ind w:hanging="720" w:left="720"/>
      </w:pPr>
      <w:rPr>
        <w:rFonts w:hint="default"/>
        <w:b w:val="0"/>
      </w:rPr>
    </w:lvl>
    <w:lvl w:ilvl="4">
      <w:start w:val="1"/>
      <w:numFmt w:val="decimal"/>
      <w:lvlText w:val="%1.%2.%3.%4.%5"/>
      <w:lvlJc w:val="left"/>
      <w:pPr>
        <w:ind w:hanging="1080" w:left="1080"/>
      </w:pPr>
      <w:rPr>
        <w:rFonts w:hint="default"/>
        <w:b w:val="0"/>
      </w:rPr>
    </w:lvl>
    <w:lvl w:ilvl="5">
      <w:start w:val="1"/>
      <w:numFmt w:val="decimal"/>
      <w:lvlText w:val="%1.%2.%3.%4.%5.%6"/>
      <w:lvlJc w:val="left"/>
      <w:pPr>
        <w:ind w:hanging="1080" w:left="1080"/>
      </w:pPr>
      <w:rPr>
        <w:rFonts w:hint="default"/>
        <w:b w:val="0"/>
      </w:rPr>
    </w:lvl>
    <w:lvl w:ilvl="6">
      <w:start w:val="1"/>
      <w:numFmt w:val="decimal"/>
      <w:lvlText w:val="%1.%2.%3.%4.%5.%6.%7"/>
      <w:lvlJc w:val="left"/>
      <w:pPr>
        <w:ind w:hanging="1440" w:left="1440"/>
      </w:pPr>
      <w:rPr>
        <w:rFonts w:hint="default"/>
        <w:b w:val="0"/>
      </w:rPr>
    </w:lvl>
    <w:lvl w:ilvl="7">
      <w:start w:val="1"/>
      <w:numFmt w:val="decimal"/>
      <w:lvlText w:val="%1.%2.%3.%4.%5.%6.%7.%8"/>
      <w:lvlJc w:val="left"/>
      <w:pPr>
        <w:ind w:hanging="1440" w:left="1440"/>
      </w:pPr>
      <w:rPr>
        <w:rFonts w:hint="default"/>
        <w:b w:val="0"/>
      </w:rPr>
    </w:lvl>
    <w:lvl w:ilvl="8">
      <w:start w:val="1"/>
      <w:numFmt w:val="decimal"/>
      <w:lvlText w:val="%1.%2.%3.%4.%5.%6.%7.%8.%9"/>
      <w:lvlJc w:val="left"/>
      <w:pPr>
        <w:ind w:hanging="1800" w:left="1800"/>
      </w:pPr>
      <w:rPr>
        <w:rFonts w:hint="default"/>
        <w:b w:val="0"/>
      </w:rPr>
    </w:lvl>
  </w:abstractNum>
  <w:abstractNum w15:restartNumberingAfterBreak="0" w:abstractNumId="3">
    <w:nsid w:val="0B5905D9"/>
    <w:multiLevelType w:val="hybridMultilevel"/>
    <w:tmpl w:val="097C2356"/>
    <w:lvl w:ilvl="0" w:tplc="7DACB3B4">
      <w:start w:val="1"/>
      <w:numFmt w:val="decimal"/>
      <w:lvlText w:val="%1"/>
      <w:lvlJc w:val="left"/>
      <w:pPr>
        <w:ind w:hanging="360" w:left="720"/>
      </w:pPr>
      <w:rPr>
        <w:rFonts w:hint="default"/>
      </w:rPr>
    </w:lvl>
    <w:lvl w:ilvl="1" w:tentative="1" w:tplc="40090019">
      <w:start w:val="1"/>
      <w:numFmt w:val="lowerLetter"/>
      <w:lvlText w:val="%2."/>
      <w:lvlJc w:val="left"/>
      <w:pPr>
        <w:ind w:hanging="360" w:left="1440"/>
      </w:pPr>
    </w:lvl>
    <w:lvl w:ilvl="2" w:tentative="1" w:tplc="4009001B">
      <w:start w:val="1"/>
      <w:numFmt w:val="lowerRoman"/>
      <w:lvlText w:val="%3."/>
      <w:lvlJc w:val="right"/>
      <w:pPr>
        <w:ind w:hanging="180" w:left="2160"/>
      </w:pPr>
    </w:lvl>
    <w:lvl w:ilvl="3" w:tentative="1" w:tplc="4009000F">
      <w:start w:val="1"/>
      <w:numFmt w:val="decimal"/>
      <w:lvlText w:val="%4."/>
      <w:lvlJc w:val="left"/>
      <w:pPr>
        <w:ind w:hanging="360" w:left="2880"/>
      </w:pPr>
    </w:lvl>
    <w:lvl w:ilvl="4" w:tentative="1" w:tplc="40090019">
      <w:start w:val="1"/>
      <w:numFmt w:val="lowerLetter"/>
      <w:lvlText w:val="%5."/>
      <w:lvlJc w:val="left"/>
      <w:pPr>
        <w:ind w:hanging="360" w:left="3600"/>
      </w:pPr>
    </w:lvl>
    <w:lvl w:ilvl="5" w:tentative="1" w:tplc="4009001B">
      <w:start w:val="1"/>
      <w:numFmt w:val="lowerRoman"/>
      <w:lvlText w:val="%6."/>
      <w:lvlJc w:val="right"/>
      <w:pPr>
        <w:ind w:hanging="180" w:left="4320"/>
      </w:pPr>
    </w:lvl>
    <w:lvl w:ilvl="6" w:tentative="1" w:tplc="4009000F">
      <w:start w:val="1"/>
      <w:numFmt w:val="decimal"/>
      <w:lvlText w:val="%7."/>
      <w:lvlJc w:val="left"/>
      <w:pPr>
        <w:ind w:hanging="360" w:left="5040"/>
      </w:pPr>
    </w:lvl>
    <w:lvl w:ilvl="7" w:tentative="1" w:tplc="40090019">
      <w:start w:val="1"/>
      <w:numFmt w:val="lowerLetter"/>
      <w:lvlText w:val="%8."/>
      <w:lvlJc w:val="left"/>
      <w:pPr>
        <w:ind w:hanging="360" w:left="5760"/>
      </w:pPr>
    </w:lvl>
    <w:lvl w:ilvl="8" w:tentative="1" w:tplc="4009001B">
      <w:start w:val="1"/>
      <w:numFmt w:val="lowerRoman"/>
      <w:lvlText w:val="%9."/>
      <w:lvlJc w:val="right"/>
      <w:pPr>
        <w:ind w:hanging="180" w:left="6480"/>
      </w:pPr>
    </w:lvl>
  </w:abstractNum>
  <w:abstractNum w15:restartNumberingAfterBreak="0" w:abstractNumId="4">
    <w:nsid w:val="0E7A16AA"/>
    <w:multiLevelType w:val="multilevel"/>
    <w:tmpl w:val="5C4EB3C4"/>
    <w:lvl w:ilvl="0">
      <w:start w:val="1"/>
      <w:numFmt w:val="decimal"/>
      <w:lvlText w:val="%1."/>
      <w:lvlJc w:val="left"/>
      <w:pPr>
        <w:ind w:hanging="360" w:left="840"/>
      </w:pPr>
      <w:rPr>
        <w:rFonts w:ascii="Times New Roman" w:cs="Times New Roman" w:eastAsia="Times New Roman" w:hAnsi="Times New Roman" w:hint="default"/>
        <w:b/>
        <w:bCs/>
        <w:w w:val="99"/>
        <w:sz w:val="28"/>
        <w:szCs w:val="28"/>
        <w:lang w:bidi="ar-SA" w:eastAsia="en-US" w:val="en-US"/>
      </w:rPr>
    </w:lvl>
    <w:lvl w:ilvl="1">
      <w:start w:val="1"/>
      <w:numFmt w:val="decimal"/>
      <w:lvlText w:val="%1.%2."/>
      <w:lvlJc w:val="left"/>
      <w:pPr>
        <w:ind w:hanging="423" w:left="902"/>
      </w:pPr>
      <w:rPr>
        <w:rFonts w:ascii="Times New Roman" w:cs="Times New Roman" w:eastAsia="Times New Roman" w:hAnsi="Times New Roman" w:hint="default"/>
        <w:w w:val="99"/>
        <w:sz w:val="24"/>
        <w:szCs w:val="24"/>
        <w:lang w:bidi="ar-SA" w:eastAsia="en-US" w:val="en-US"/>
      </w:rPr>
    </w:lvl>
    <w:lvl w:ilvl="2">
      <w:numFmt w:val="bullet"/>
      <w:lvlText w:val="•"/>
      <w:lvlJc w:val="left"/>
      <w:pPr>
        <w:ind w:hanging="423" w:left="1788"/>
      </w:pPr>
      <w:rPr>
        <w:rFonts w:hint="default"/>
        <w:lang w:bidi="ar-SA" w:eastAsia="en-US" w:val="en-US"/>
      </w:rPr>
    </w:lvl>
    <w:lvl w:ilvl="3">
      <w:numFmt w:val="bullet"/>
      <w:lvlText w:val="•"/>
      <w:lvlJc w:val="left"/>
      <w:pPr>
        <w:ind w:hanging="423" w:left="2677"/>
      </w:pPr>
      <w:rPr>
        <w:rFonts w:hint="default"/>
        <w:lang w:bidi="ar-SA" w:eastAsia="en-US" w:val="en-US"/>
      </w:rPr>
    </w:lvl>
    <w:lvl w:ilvl="4">
      <w:numFmt w:val="bullet"/>
      <w:lvlText w:val="•"/>
      <w:lvlJc w:val="left"/>
      <w:pPr>
        <w:ind w:hanging="423" w:left="3566"/>
      </w:pPr>
      <w:rPr>
        <w:rFonts w:hint="default"/>
        <w:lang w:bidi="ar-SA" w:eastAsia="en-US" w:val="en-US"/>
      </w:rPr>
    </w:lvl>
    <w:lvl w:ilvl="5">
      <w:numFmt w:val="bullet"/>
      <w:lvlText w:val="•"/>
      <w:lvlJc w:val="left"/>
      <w:pPr>
        <w:ind w:hanging="423" w:left="4455"/>
      </w:pPr>
      <w:rPr>
        <w:rFonts w:hint="default"/>
        <w:lang w:bidi="ar-SA" w:eastAsia="en-US" w:val="en-US"/>
      </w:rPr>
    </w:lvl>
    <w:lvl w:ilvl="6">
      <w:numFmt w:val="bullet"/>
      <w:lvlText w:val="•"/>
      <w:lvlJc w:val="left"/>
      <w:pPr>
        <w:ind w:hanging="423" w:left="5344"/>
      </w:pPr>
      <w:rPr>
        <w:rFonts w:hint="default"/>
        <w:lang w:bidi="ar-SA" w:eastAsia="en-US" w:val="en-US"/>
      </w:rPr>
    </w:lvl>
    <w:lvl w:ilvl="7">
      <w:numFmt w:val="bullet"/>
      <w:lvlText w:val="•"/>
      <w:lvlJc w:val="left"/>
      <w:pPr>
        <w:ind w:hanging="423" w:left="6233"/>
      </w:pPr>
      <w:rPr>
        <w:rFonts w:hint="default"/>
        <w:lang w:bidi="ar-SA" w:eastAsia="en-US" w:val="en-US"/>
      </w:rPr>
    </w:lvl>
    <w:lvl w:ilvl="8">
      <w:numFmt w:val="bullet"/>
      <w:lvlText w:val="•"/>
      <w:lvlJc w:val="left"/>
      <w:pPr>
        <w:ind w:hanging="423" w:left="7122"/>
      </w:pPr>
      <w:rPr>
        <w:rFonts w:hint="default"/>
        <w:lang w:bidi="ar-SA" w:eastAsia="en-US" w:val="en-US"/>
      </w:rPr>
    </w:lvl>
  </w:abstractNum>
  <w:abstractNum w15:restartNumberingAfterBreak="0" w:abstractNumId="5">
    <w:nsid w:val="0F7B0AE4"/>
    <w:multiLevelType w:val="hybridMultilevel"/>
    <w:tmpl w:val="0A64EA6E"/>
    <w:lvl w:ilvl="0" w:tplc="4009001B">
      <w:start w:val="1"/>
      <w:numFmt w:val="lowerRoman"/>
      <w:lvlText w:val="%1."/>
      <w:lvlJc w:val="right"/>
      <w:pPr>
        <w:ind w:hanging="360" w:left="720"/>
      </w:pPr>
    </w:lvl>
    <w:lvl w:ilvl="1" w:tentative="1" w:tplc="40090019">
      <w:start w:val="1"/>
      <w:numFmt w:val="lowerLetter"/>
      <w:lvlText w:val="%2."/>
      <w:lvlJc w:val="left"/>
      <w:pPr>
        <w:ind w:hanging="360" w:left="1440"/>
      </w:pPr>
    </w:lvl>
    <w:lvl w:ilvl="2" w:tentative="1" w:tplc="4009001B">
      <w:start w:val="1"/>
      <w:numFmt w:val="lowerRoman"/>
      <w:lvlText w:val="%3."/>
      <w:lvlJc w:val="right"/>
      <w:pPr>
        <w:ind w:hanging="180" w:left="2160"/>
      </w:pPr>
    </w:lvl>
    <w:lvl w:ilvl="3" w:tentative="1" w:tplc="4009000F">
      <w:start w:val="1"/>
      <w:numFmt w:val="decimal"/>
      <w:lvlText w:val="%4."/>
      <w:lvlJc w:val="left"/>
      <w:pPr>
        <w:ind w:hanging="360" w:left="2880"/>
      </w:pPr>
    </w:lvl>
    <w:lvl w:ilvl="4" w:tentative="1" w:tplc="40090019">
      <w:start w:val="1"/>
      <w:numFmt w:val="lowerLetter"/>
      <w:lvlText w:val="%5."/>
      <w:lvlJc w:val="left"/>
      <w:pPr>
        <w:ind w:hanging="360" w:left="3600"/>
      </w:pPr>
    </w:lvl>
    <w:lvl w:ilvl="5" w:tentative="1" w:tplc="4009001B">
      <w:start w:val="1"/>
      <w:numFmt w:val="lowerRoman"/>
      <w:lvlText w:val="%6."/>
      <w:lvlJc w:val="right"/>
      <w:pPr>
        <w:ind w:hanging="180" w:left="4320"/>
      </w:pPr>
    </w:lvl>
    <w:lvl w:ilvl="6" w:tentative="1" w:tplc="4009000F">
      <w:start w:val="1"/>
      <w:numFmt w:val="decimal"/>
      <w:lvlText w:val="%7."/>
      <w:lvlJc w:val="left"/>
      <w:pPr>
        <w:ind w:hanging="360" w:left="5040"/>
      </w:pPr>
    </w:lvl>
    <w:lvl w:ilvl="7" w:tentative="1" w:tplc="40090019">
      <w:start w:val="1"/>
      <w:numFmt w:val="lowerLetter"/>
      <w:lvlText w:val="%8."/>
      <w:lvlJc w:val="left"/>
      <w:pPr>
        <w:ind w:hanging="360" w:left="5760"/>
      </w:pPr>
    </w:lvl>
    <w:lvl w:ilvl="8" w:tentative="1" w:tplc="4009001B">
      <w:start w:val="1"/>
      <w:numFmt w:val="lowerRoman"/>
      <w:lvlText w:val="%9."/>
      <w:lvlJc w:val="right"/>
      <w:pPr>
        <w:ind w:hanging="180" w:left="6480"/>
      </w:pPr>
    </w:lvl>
  </w:abstractNum>
  <w:abstractNum w15:restartNumberingAfterBreak="0" w:abstractNumId="6">
    <w:nsid w:val="21376464"/>
    <w:multiLevelType w:val="multilevel"/>
    <w:tmpl w:val="BB96ED5E"/>
    <w:lvl w:ilvl="0">
      <w:start w:val="1"/>
      <w:numFmt w:val="decimal"/>
      <w:lvlText w:val="%1"/>
      <w:lvlJc w:val="left"/>
      <w:pPr>
        <w:ind w:hanging="389" w:left="589"/>
      </w:pPr>
      <w:rPr>
        <w:rFonts w:hint="default"/>
        <w:lang w:bidi="ar-SA" w:eastAsia="en-US" w:val="en-US"/>
      </w:rPr>
    </w:lvl>
    <w:lvl w:ilvl="1">
      <w:start w:val="1"/>
      <w:numFmt w:val="decimal"/>
      <w:lvlText w:val="%1.%2"/>
      <w:lvlJc w:val="left"/>
      <w:pPr>
        <w:ind w:hanging="389" w:left="589"/>
      </w:pPr>
      <w:rPr>
        <w:rFonts w:ascii="Times New Roman" w:cs="Times New Roman" w:eastAsia="Times New Roman" w:hAnsi="Times New Roman" w:hint="default"/>
        <w:b/>
        <w:bCs/>
        <w:w w:val="99"/>
        <w:sz w:val="26"/>
        <w:szCs w:val="26"/>
        <w:lang w:bidi="ar-SA" w:eastAsia="en-US" w:val="en-US"/>
      </w:rPr>
    </w:lvl>
    <w:lvl w:ilvl="2">
      <w:numFmt w:val="bullet"/>
      <w:lvlText w:val="•"/>
      <w:lvlJc w:val="left"/>
      <w:pPr>
        <w:ind w:hanging="389" w:left="2333"/>
      </w:pPr>
      <w:rPr>
        <w:rFonts w:hint="default"/>
        <w:lang w:bidi="ar-SA" w:eastAsia="en-US" w:val="en-US"/>
      </w:rPr>
    </w:lvl>
    <w:lvl w:ilvl="3">
      <w:numFmt w:val="bullet"/>
      <w:lvlText w:val="•"/>
      <w:lvlJc w:val="left"/>
      <w:pPr>
        <w:ind w:hanging="389" w:left="3209"/>
      </w:pPr>
      <w:rPr>
        <w:rFonts w:hint="default"/>
        <w:lang w:bidi="ar-SA" w:eastAsia="en-US" w:val="en-US"/>
      </w:rPr>
    </w:lvl>
    <w:lvl w:ilvl="4">
      <w:numFmt w:val="bullet"/>
      <w:lvlText w:val="•"/>
      <w:lvlJc w:val="left"/>
      <w:pPr>
        <w:ind w:hanging="389" w:left="4086"/>
      </w:pPr>
      <w:rPr>
        <w:rFonts w:hint="default"/>
        <w:lang w:bidi="ar-SA" w:eastAsia="en-US" w:val="en-US"/>
      </w:rPr>
    </w:lvl>
    <w:lvl w:ilvl="5">
      <w:numFmt w:val="bullet"/>
      <w:lvlText w:val="•"/>
      <w:lvlJc w:val="left"/>
      <w:pPr>
        <w:ind w:hanging="389" w:left="4963"/>
      </w:pPr>
      <w:rPr>
        <w:rFonts w:hint="default"/>
        <w:lang w:bidi="ar-SA" w:eastAsia="en-US" w:val="en-US"/>
      </w:rPr>
    </w:lvl>
    <w:lvl w:ilvl="6">
      <w:numFmt w:val="bullet"/>
      <w:lvlText w:val="•"/>
      <w:lvlJc w:val="left"/>
      <w:pPr>
        <w:ind w:hanging="389" w:left="5839"/>
      </w:pPr>
      <w:rPr>
        <w:rFonts w:hint="default"/>
        <w:lang w:bidi="ar-SA" w:eastAsia="en-US" w:val="en-US"/>
      </w:rPr>
    </w:lvl>
    <w:lvl w:ilvl="7">
      <w:numFmt w:val="bullet"/>
      <w:lvlText w:val="•"/>
      <w:lvlJc w:val="left"/>
      <w:pPr>
        <w:ind w:hanging="389" w:left="6716"/>
      </w:pPr>
      <w:rPr>
        <w:rFonts w:hint="default"/>
        <w:lang w:bidi="ar-SA" w:eastAsia="en-US" w:val="en-US"/>
      </w:rPr>
    </w:lvl>
    <w:lvl w:ilvl="8">
      <w:numFmt w:val="bullet"/>
      <w:lvlText w:val="•"/>
      <w:lvlJc w:val="left"/>
      <w:pPr>
        <w:ind w:hanging="389" w:left="7593"/>
      </w:pPr>
      <w:rPr>
        <w:rFonts w:hint="default"/>
        <w:lang w:bidi="ar-SA" w:eastAsia="en-US" w:val="en-US"/>
      </w:rPr>
    </w:lvl>
  </w:abstractNum>
  <w:abstractNum w15:restartNumberingAfterBreak="0" w:abstractNumId="7">
    <w:nsid w:val="215906BD"/>
    <w:multiLevelType w:val="multilevel"/>
    <w:tmpl w:val="73D06F82"/>
    <w:lvl w:ilvl="0">
      <w:start w:val="2"/>
      <w:numFmt w:val="decimal"/>
      <w:lvlText w:val="%1"/>
      <w:lvlJc w:val="left"/>
      <w:pPr>
        <w:ind w:hanging="360" w:left="360"/>
      </w:pPr>
      <w:rPr>
        <w:rFonts w:hint="default"/>
      </w:rPr>
    </w:lvl>
    <w:lvl w:ilvl="1">
      <w:start w:val="4"/>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8">
    <w:nsid w:val="2C0C0DCA"/>
    <w:multiLevelType w:val="multilevel"/>
    <w:tmpl w:val="521695EA"/>
    <w:lvl w:ilvl="0">
      <w:start w:val="3"/>
      <w:numFmt w:val="decimal"/>
      <w:lvlText w:val="%1"/>
      <w:lvlJc w:val="left"/>
      <w:pPr>
        <w:ind w:hanging="560" w:left="560"/>
      </w:pPr>
      <w:rPr>
        <w:rFonts w:hint="default"/>
      </w:rPr>
    </w:lvl>
    <w:lvl w:ilvl="1">
      <w:start w:val="2"/>
      <w:numFmt w:val="decimal"/>
      <w:lvlText w:val="%1.%2"/>
      <w:lvlJc w:val="left"/>
      <w:pPr>
        <w:ind w:hanging="720" w:left="1440"/>
      </w:pPr>
      <w:rPr>
        <w:rFonts w:hint="default"/>
      </w:rPr>
    </w:lvl>
    <w:lvl w:ilvl="2">
      <w:start w:val="3"/>
      <w:numFmt w:val="decimal"/>
      <w:lvlText w:val="%1.%2.%3"/>
      <w:lvlJc w:val="left"/>
      <w:pPr>
        <w:ind w:hanging="720" w:left="2160"/>
      </w:pPr>
      <w:rPr>
        <w:rFonts w:hint="default"/>
      </w:rPr>
    </w:lvl>
    <w:lvl w:ilvl="3">
      <w:start w:val="1"/>
      <w:numFmt w:val="decimal"/>
      <w:lvlText w:val="%1.%2.%3.%4"/>
      <w:lvlJc w:val="left"/>
      <w:pPr>
        <w:ind w:hanging="1080" w:left="3240"/>
      </w:pPr>
      <w:rPr>
        <w:rFonts w:hint="default"/>
      </w:rPr>
    </w:lvl>
    <w:lvl w:ilvl="4">
      <w:start w:val="1"/>
      <w:numFmt w:val="decimal"/>
      <w:lvlText w:val="%1.%2.%3.%4.%5"/>
      <w:lvlJc w:val="left"/>
      <w:pPr>
        <w:ind w:hanging="1080" w:left="3960"/>
      </w:pPr>
      <w:rPr>
        <w:rFonts w:hint="default"/>
      </w:rPr>
    </w:lvl>
    <w:lvl w:ilvl="5">
      <w:start w:val="1"/>
      <w:numFmt w:val="decimal"/>
      <w:lvlText w:val="%1.%2.%3.%4.%5.%6"/>
      <w:lvlJc w:val="left"/>
      <w:pPr>
        <w:ind w:hanging="1440" w:left="5040"/>
      </w:pPr>
      <w:rPr>
        <w:rFonts w:hint="default"/>
      </w:rPr>
    </w:lvl>
    <w:lvl w:ilvl="6">
      <w:start w:val="1"/>
      <w:numFmt w:val="decimal"/>
      <w:lvlText w:val="%1.%2.%3.%4.%5.%6.%7"/>
      <w:lvlJc w:val="left"/>
      <w:pPr>
        <w:ind w:hanging="1800" w:left="6120"/>
      </w:pPr>
      <w:rPr>
        <w:rFonts w:hint="default"/>
      </w:rPr>
    </w:lvl>
    <w:lvl w:ilvl="7">
      <w:start w:val="1"/>
      <w:numFmt w:val="decimal"/>
      <w:lvlText w:val="%1.%2.%3.%4.%5.%6.%7.%8"/>
      <w:lvlJc w:val="left"/>
      <w:pPr>
        <w:ind w:hanging="1800" w:left="6840"/>
      </w:pPr>
      <w:rPr>
        <w:rFonts w:hint="default"/>
      </w:rPr>
    </w:lvl>
    <w:lvl w:ilvl="8">
      <w:start w:val="1"/>
      <w:numFmt w:val="decimal"/>
      <w:lvlText w:val="%1.%2.%3.%4.%5.%6.%7.%8.%9"/>
      <w:lvlJc w:val="left"/>
      <w:pPr>
        <w:ind w:hanging="2160" w:left="7920"/>
      </w:pPr>
      <w:rPr>
        <w:rFonts w:hint="default"/>
      </w:rPr>
    </w:lvl>
  </w:abstractNum>
  <w:abstractNum w15:restartNumberingAfterBreak="0" w:abstractNumId="9">
    <w:nsid w:val="30420E73"/>
    <w:multiLevelType w:val="multilevel"/>
    <w:tmpl w:val="692E87DC"/>
    <w:lvl w:ilvl="0">
      <w:start w:val="3"/>
      <w:numFmt w:val="decimal"/>
      <w:lvlText w:val="%1"/>
      <w:lvlJc w:val="left"/>
      <w:pPr>
        <w:ind w:hanging="1102" w:left="2684"/>
      </w:pPr>
      <w:rPr>
        <w:rFonts w:hint="default"/>
        <w:lang w:bidi="ar-SA" w:eastAsia="en-US" w:val="en-US"/>
      </w:rPr>
    </w:lvl>
    <w:lvl w:ilvl="1">
      <w:start w:val="3"/>
      <w:numFmt w:val="decimal"/>
      <w:lvlText w:val="%1.%2"/>
      <w:lvlJc w:val="left"/>
      <w:pPr>
        <w:ind w:hanging="1102" w:left="2684"/>
      </w:pPr>
      <w:rPr>
        <w:rFonts w:hint="default"/>
        <w:lang w:bidi="ar-SA" w:eastAsia="en-US" w:val="en-US"/>
      </w:rPr>
    </w:lvl>
    <w:lvl w:ilvl="2">
      <w:start w:val="1"/>
      <w:numFmt w:val="decimal"/>
      <w:lvlText w:val="%1.%2.%3"/>
      <w:lvlJc w:val="left"/>
      <w:pPr>
        <w:ind w:hanging="1102" w:left="2520"/>
      </w:pPr>
      <w:rPr>
        <w:rFonts w:ascii="Times New Roman" w:cs="Times New Roman" w:eastAsia="Times New Roman" w:hAnsi="Times New Roman" w:hint="default"/>
        <w:w w:val="101"/>
        <w:sz w:val="24"/>
        <w:szCs w:val="24"/>
        <w:lang w:bidi="ar-SA" w:eastAsia="en-US" w:val="en-US"/>
      </w:rPr>
    </w:lvl>
    <w:lvl w:ilvl="3">
      <w:numFmt w:val="bullet"/>
      <w:lvlText w:val="•"/>
      <w:lvlJc w:val="left"/>
      <w:pPr>
        <w:ind w:hanging="1102" w:left="4901"/>
      </w:pPr>
      <w:rPr>
        <w:rFonts w:hint="default"/>
        <w:lang w:bidi="ar-SA" w:eastAsia="en-US" w:val="en-US"/>
      </w:rPr>
    </w:lvl>
    <w:lvl w:ilvl="4">
      <w:numFmt w:val="bullet"/>
      <w:lvlText w:val="•"/>
      <w:lvlJc w:val="left"/>
      <w:pPr>
        <w:ind w:hanging="1102" w:left="5642"/>
      </w:pPr>
      <w:rPr>
        <w:rFonts w:hint="default"/>
        <w:lang w:bidi="ar-SA" w:eastAsia="en-US" w:val="en-US"/>
      </w:rPr>
    </w:lvl>
    <w:lvl w:ilvl="5">
      <w:numFmt w:val="bullet"/>
      <w:lvlText w:val="•"/>
      <w:lvlJc w:val="left"/>
      <w:pPr>
        <w:ind w:hanging="1102" w:left="6382"/>
      </w:pPr>
      <w:rPr>
        <w:rFonts w:hint="default"/>
        <w:lang w:bidi="ar-SA" w:eastAsia="en-US" w:val="en-US"/>
      </w:rPr>
    </w:lvl>
    <w:lvl w:ilvl="6">
      <w:numFmt w:val="bullet"/>
      <w:lvlText w:val="•"/>
      <w:lvlJc w:val="left"/>
      <w:pPr>
        <w:ind w:hanging="1102" w:left="7123"/>
      </w:pPr>
      <w:rPr>
        <w:rFonts w:hint="default"/>
        <w:lang w:bidi="ar-SA" w:eastAsia="en-US" w:val="en-US"/>
      </w:rPr>
    </w:lvl>
    <w:lvl w:ilvl="7">
      <w:numFmt w:val="bullet"/>
      <w:lvlText w:val="•"/>
      <w:lvlJc w:val="left"/>
      <w:pPr>
        <w:ind w:hanging="1102" w:left="7863"/>
      </w:pPr>
      <w:rPr>
        <w:rFonts w:hint="default"/>
        <w:lang w:bidi="ar-SA" w:eastAsia="en-US" w:val="en-US"/>
      </w:rPr>
    </w:lvl>
    <w:lvl w:ilvl="8">
      <w:numFmt w:val="bullet"/>
      <w:lvlText w:val="•"/>
      <w:lvlJc w:val="left"/>
      <w:pPr>
        <w:ind w:hanging="1102" w:left="8604"/>
      </w:pPr>
      <w:rPr>
        <w:rFonts w:hint="default"/>
        <w:lang w:bidi="ar-SA" w:eastAsia="en-US" w:val="en-US"/>
      </w:rPr>
    </w:lvl>
  </w:abstractNum>
  <w:abstractNum w15:restartNumberingAfterBreak="0" w:abstractNumId="10">
    <w:nsid w:val="41691D06"/>
    <w:multiLevelType w:val="multilevel"/>
    <w:tmpl w:val="516053CC"/>
    <w:lvl w:ilvl="0">
      <w:start w:val="3"/>
      <w:numFmt w:val="decimal"/>
      <w:lvlText w:val="%1"/>
      <w:lvlJc w:val="left"/>
      <w:pPr>
        <w:ind w:hanging="360" w:left="360"/>
      </w:pPr>
      <w:rPr>
        <w:rFonts w:hint="default"/>
      </w:rPr>
    </w:lvl>
    <w:lvl w:ilvl="1">
      <w:start w:val="2"/>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11">
    <w:nsid w:val="47584BDC"/>
    <w:multiLevelType w:val="hybridMultilevel"/>
    <w:tmpl w:val="D8CCC8CA"/>
    <w:lvl w:ilvl="0" w:tplc="4009000F">
      <w:start w:val="1"/>
      <w:numFmt w:val="decimal"/>
      <w:lvlText w:val="%1."/>
      <w:lvlJc w:val="left"/>
      <w:pPr>
        <w:ind w:hanging="360" w:left="720"/>
      </w:pPr>
    </w:lvl>
    <w:lvl w:ilvl="1" w:tentative="1" w:tplc="40090019">
      <w:start w:val="1"/>
      <w:numFmt w:val="lowerLetter"/>
      <w:lvlText w:val="%2."/>
      <w:lvlJc w:val="left"/>
      <w:pPr>
        <w:ind w:hanging="360" w:left="1440"/>
      </w:pPr>
    </w:lvl>
    <w:lvl w:ilvl="2" w:tentative="1" w:tplc="4009001B">
      <w:start w:val="1"/>
      <w:numFmt w:val="lowerRoman"/>
      <w:lvlText w:val="%3."/>
      <w:lvlJc w:val="right"/>
      <w:pPr>
        <w:ind w:hanging="180" w:left="2160"/>
      </w:pPr>
    </w:lvl>
    <w:lvl w:ilvl="3" w:tentative="1" w:tplc="4009000F">
      <w:start w:val="1"/>
      <w:numFmt w:val="decimal"/>
      <w:lvlText w:val="%4."/>
      <w:lvlJc w:val="left"/>
      <w:pPr>
        <w:ind w:hanging="360" w:left="2880"/>
      </w:pPr>
    </w:lvl>
    <w:lvl w:ilvl="4" w:tentative="1" w:tplc="40090019">
      <w:start w:val="1"/>
      <w:numFmt w:val="lowerLetter"/>
      <w:lvlText w:val="%5."/>
      <w:lvlJc w:val="left"/>
      <w:pPr>
        <w:ind w:hanging="360" w:left="3600"/>
      </w:pPr>
    </w:lvl>
    <w:lvl w:ilvl="5" w:tentative="1" w:tplc="4009001B">
      <w:start w:val="1"/>
      <w:numFmt w:val="lowerRoman"/>
      <w:lvlText w:val="%6."/>
      <w:lvlJc w:val="right"/>
      <w:pPr>
        <w:ind w:hanging="180" w:left="4320"/>
      </w:pPr>
    </w:lvl>
    <w:lvl w:ilvl="6" w:tentative="1" w:tplc="4009000F">
      <w:start w:val="1"/>
      <w:numFmt w:val="decimal"/>
      <w:lvlText w:val="%7."/>
      <w:lvlJc w:val="left"/>
      <w:pPr>
        <w:ind w:hanging="360" w:left="5040"/>
      </w:pPr>
    </w:lvl>
    <w:lvl w:ilvl="7" w:tentative="1" w:tplc="40090019">
      <w:start w:val="1"/>
      <w:numFmt w:val="lowerLetter"/>
      <w:lvlText w:val="%8."/>
      <w:lvlJc w:val="left"/>
      <w:pPr>
        <w:ind w:hanging="360" w:left="5760"/>
      </w:pPr>
    </w:lvl>
    <w:lvl w:ilvl="8" w:tentative="1" w:tplc="4009001B">
      <w:start w:val="1"/>
      <w:numFmt w:val="lowerRoman"/>
      <w:lvlText w:val="%9."/>
      <w:lvlJc w:val="right"/>
      <w:pPr>
        <w:ind w:hanging="180" w:left="6480"/>
      </w:pPr>
    </w:lvl>
  </w:abstractNum>
  <w:abstractNum w15:restartNumberingAfterBreak="0" w:abstractNumId="12">
    <w:nsid w:val="48A22E72"/>
    <w:multiLevelType w:val="multilevel"/>
    <w:tmpl w:val="42C25C8E"/>
    <w:lvl w:ilvl="0">
      <w:start w:val="1"/>
      <w:numFmt w:val="decimal"/>
      <w:lvlText w:val="%1"/>
      <w:lvlJc w:val="left"/>
      <w:pPr>
        <w:ind w:hanging="360" w:left="720"/>
      </w:pPr>
      <w:rPr>
        <w:rFonts w:hint="default"/>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13">
    <w:nsid w:val="4E5838B0"/>
    <w:multiLevelType w:val="hybridMultilevel"/>
    <w:tmpl w:val="EA88FA8C"/>
    <w:lvl w:ilvl="0" w:tplc="71E28366">
      <w:start w:val="1"/>
      <w:numFmt w:val="decimal"/>
      <w:lvlText w:val="[%1]"/>
      <w:lvlJc w:val="left"/>
      <w:pPr>
        <w:ind w:hanging="394" w:left="840"/>
      </w:pPr>
      <w:rPr>
        <w:rFonts w:ascii="Times New Roman" w:cs="Times New Roman" w:eastAsia="Times New Roman" w:hAnsi="Times New Roman" w:hint="default"/>
        <w:spacing w:val="0"/>
        <w:w w:val="99"/>
        <w:sz w:val="24"/>
        <w:szCs w:val="24"/>
        <w:lang w:bidi="ar-SA" w:eastAsia="en-US" w:val="en-US"/>
      </w:rPr>
    </w:lvl>
    <w:lvl w:ilvl="1" w:tplc="60C6F3D2">
      <w:numFmt w:val="bullet"/>
      <w:lvlText w:val="•"/>
      <w:lvlJc w:val="left"/>
      <w:pPr>
        <w:ind w:hanging="394" w:left="1646"/>
      </w:pPr>
      <w:rPr>
        <w:rFonts w:hint="default"/>
        <w:lang w:bidi="ar-SA" w:eastAsia="en-US" w:val="en-US"/>
      </w:rPr>
    </w:lvl>
    <w:lvl w:ilvl="2" w:tplc="861C69D4">
      <w:numFmt w:val="bullet"/>
      <w:lvlText w:val="•"/>
      <w:lvlJc w:val="left"/>
      <w:pPr>
        <w:ind w:hanging="394" w:left="2452"/>
      </w:pPr>
      <w:rPr>
        <w:rFonts w:hint="default"/>
        <w:lang w:bidi="ar-SA" w:eastAsia="en-US" w:val="en-US"/>
      </w:rPr>
    </w:lvl>
    <w:lvl w:ilvl="3" w:tplc="4820853C">
      <w:numFmt w:val="bullet"/>
      <w:lvlText w:val="•"/>
      <w:lvlJc w:val="left"/>
      <w:pPr>
        <w:ind w:hanging="394" w:left="3258"/>
      </w:pPr>
      <w:rPr>
        <w:rFonts w:hint="default"/>
        <w:lang w:bidi="ar-SA" w:eastAsia="en-US" w:val="en-US"/>
      </w:rPr>
    </w:lvl>
    <w:lvl w:ilvl="4" w:tplc="ED0456D4">
      <w:numFmt w:val="bullet"/>
      <w:lvlText w:val="•"/>
      <w:lvlJc w:val="left"/>
      <w:pPr>
        <w:ind w:hanging="394" w:left="4064"/>
      </w:pPr>
      <w:rPr>
        <w:rFonts w:hint="default"/>
        <w:lang w:bidi="ar-SA" w:eastAsia="en-US" w:val="en-US"/>
      </w:rPr>
    </w:lvl>
    <w:lvl w:ilvl="5" w:tplc="92B0D3C4">
      <w:numFmt w:val="bullet"/>
      <w:lvlText w:val="•"/>
      <w:lvlJc w:val="left"/>
      <w:pPr>
        <w:ind w:hanging="394" w:left="4870"/>
      </w:pPr>
      <w:rPr>
        <w:rFonts w:hint="default"/>
        <w:lang w:bidi="ar-SA" w:eastAsia="en-US" w:val="en-US"/>
      </w:rPr>
    </w:lvl>
    <w:lvl w:ilvl="6" w:tplc="8256945A">
      <w:numFmt w:val="bullet"/>
      <w:lvlText w:val="•"/>
      <w:lvlJc w:val="left"/>
      <w:pPr>
        <w:ind w:hanging="394" w:left="5676"/>
      </w:pPr>
      <w:rPr>
        <w:rFonts w:hint="default"/>
        <w:lang w:bidi="ar-SA" w:eastAsia="en-US" w:val="en-US"/>
      </w:rPr>
    </w:lvl>
    <w:lvl w:ilvl="7" w:tplc="C986A5AE">
      <w:numFmt w:val="bullet"/>
      <w:lvlText w:val="•"/>
      <w:lvlJc w:val="left"/>
      <w:pPr>
        <w:ind w:hanging="394" w:left="6482"/>
      </w:pPr>
      <w:rPr>
        <w:rFonts w:hint="default"/>
        <w:lang w:bidi="ar-SA" w:eastAsia="en-US" w:val="en-US"/>
      </w:rPr>
    </w:lvl>
    <w:lvl w:ilvl="8" w:tplc="B6489B58">
      <w:numFmt w:val="bullet"/>
      <w:lvlText w:val="•"/>
      <w:lvlJc w:val="left"/>
      <w:pPr>
        <w:ind w:hanging="394" w:left="7288"/>
      </w:pPr>
      <w:rPr>
        <w:rFonts w:hint="default"/>
        <w:lang w:bidi="ar-SA" w:eastAsia="en-US" w:val="en-US"/>
      </w:rPr>
    </w:lvl>
  </w:abstractNum>
  <w:abstractNum w15:restartNumberingAfterBreak="0" w:abstractNumId="14">
    <w:nsid w:val="582B40C2"/>
    <w:multiLevelType w:val="multilevel"/>
    <w:tmpl w:val="B5BEAB8C"/>
    <w:lvl w:ilvl="0">
      <w:start w:val="3"/>
      <w:numFmt w:val="decimal"/>
      <w:lvlText w:val="%1"/>
      <w:lvlJc w:val="left"/>
      <w:pPr>
        <w:ind w:hanging="560" w:left="560"/>
      </w:pPr>
      <w:rPr>
        <w:rFonts w:hint="default"/>
      </w:rPr>
    </w:lvl>
    <w:lvl w:ilvl="1">
      <w:start w:val="2"/>
      <w:numFmt w:val="decimal"/>
      <w:lvlText w:val="%1.%2"/>
      <w:lvlJc w:val="left"/>
      <w:pPr>
        <w:ind w:hanging="560" w:left="955"/>
      </w:pPr>
      <w:rPr>
        <w:rFonts w:hint="default"/>
      </w:rPr>
    </w:lvl>
    <w:lvl w:ilvl="2">
      <w:start w:val="2"/>
      <w:numFmt w:val="decimal"/>
      <w:lvlText w:val="%1.%2.%3"/>
      <w:lvlJc w:val="left"/>
      <w:pPr>
        <w:ind w:hanging="720" w:left="1510"/>
      </w:pPr>
      <w:rPr>
        <w:rFonts w:hint="default"/>
      </w:rPr>
    </w:lvl>
    <w:lvl w:ilvl="3">
      <w:start w:val="1"/>
      <w:numFmt w:val="decimal"/>
      <w:lvlText w:val="%1.%2.%3.%4"/>
      <w:lvlJc w:val="left"/>
      <w:pPr>
        <w:ind w:hanging="1080" w:left="2265"/>
      </w:pPr>
      <w:rPr>
        <w:rFonts w:hint="default"/>
      </w:rPr>
    </w:lvl>
    <w:lvl w:ilvl="4">
      <w:start w:val="1"/>
      <w:numFmt w:val="decimal"/>
      <w:lvlText w:val="%1.%2.%3.%4.%5"/>
      <w:lvlJc w:val="left"/>
      <w:pPr>
        <w:ind w:hanging="1080" w:left="2660"/>
      </w:pPr>
      <w:rPr>
        <w:rFonts w:hint="default"/>
      </w:rPr>
    </w:lvl>
    <w:lvl w:ilvl="5">
      <w:start w:val="1"/>
      <w:numFmt w:val="decimal"/>
      <w:lvlText w:val="%1.%2.%3.%4.%5.%6"/>
      <w:lvlJc w:val="left"/>
      <w:pPr>
        <w:ind w:hanging="1440" w:left="3415"/>
      </w:pPr>
      <w:rPr>
        <w:rFonts w:hint="default"/>
      </w:rPr>
    </w:lvl>
    <w:lvl w:ilvl="6">
      <w:start w:val="1"/>
      <w:numFmt w:val="decimal"/>
      <w:lvlText w:val="%1.%2.%3.%4.%5.%6.%7"/>
      <w:lvlJc w:val="left"/>
      <w:pPr>
        <w:ind w:hanging="1440" w:left="3810"/>
      </w:pPr>
      <w:rPr>
        <w:rFonts w:hint="default"/>
      </w:rPr>
    </w:lvl>
    <w:lvl w:ilvl="7">
      <w:start w:val="1"/>
      <w:numFmt w:val="decimal"/>
      <w:lvlText w:val="%1.%2.%3.%4.%5.%6.%7.%8"/>
      <w:lvlJc w:val="left"/>
      <w:pPr>
        <w:ind w:hanging="1800" w:left="4565"/>
      </w:pPr>
      <w:rPr>
        <w:rFonts w:hint="default"/>
      </w:rPr>
    </w:lvl>
    <w:lvl w:ilvl="8">
      <w:start w:val="1"/>
      <w:numFmt w:val="decimal"/>
      <w:lvlText w:val="%1.%2.%3.%4.%5.%6.%7.%8.%9"/>
      <w:lvlJc w:val="left"/>
      <w:pPr>
        <w:ind w:hanging="2160" w:left="5320"/>
      </w:pPr>
      <w:rPr>
        <w:rFonts w:hint="default"/>
      </w:rPr>
    </w:lvl>
  </w:abstractNum>
  <w:abstractNum w15:restartNumberingAfterBreak="0" w:abstractNumId="15">
    <w:nsid w:val="640B4126"/>
    <w:multiLevelType w:val="multilevel"/>
    <w:tmpl w:val="BFCA54D4"/>
    <w:lvl w:ilvl="0">
      <w:start w:val="2"/>
      <w:numFmt w:val="decimal"/>
      <w:lvlText w:val="%1"/>
      <w:lvlJc w:val="left"/>
      <w:pPr>
        <w:ind w:hanging="389" w:left="589"/>
      </w:pPr>
      <w:rPr>
        <w:rFonts w:hint="default"/>
        <w:lang w:bidi="ar-SA" w:eastAsia="en-US" w:val="en-US"/>
      </w:rPr>
    </w:lvl>
    <w:lvl w:ilvl="1">
      <w:start w:val="2"/>
      <w:numFmt w:val="decimal"/>
      <w:lvlText w:val="%1.%2"/>
      <w:lvlJc w:val="left"/>
      <w:pPr>
        <w:ind w:hanging="389" w:left="589"/>
      </w:pPr>
      <w:rPr>
        <w:rFonts w:ascii="Times New Roman" w:cs="Times New Roman" w:eastAsia="Times New Roman" w:hAnsi="Times New Roman" w:hint="default"/>
        <w:b/>
        <w:bCs/>
        <w:w w:val="99"/>
        <w:sz w:val="26"/>
        <w:szCs w:val="26"/>
        <w:lang w:bidi="ar-SA" w:eastAsia="en-US" w:val="en-US"/>
      </w:rPr>
    </w:lvl>
    <w:lvl w:ilvl="2">
      <w:numFmt w:val="bullet"/>
      <w:lvlText w:val="•"/>
      <w:lvlJc w:val="left"/>
      <w:pPr>
        <w:ind w:hanging="389" w:left="2333"/>
      </w:pPr>
      <w:rPr>
        <w:rFonts w:hint="default"/>
        <w:lang w:bidi="ar-SA" w:eastAsia="en-US" w:val="en-US"/>
      </w:rPr>
    </w:lvl>
    <w:lvl w:ilvl="3">
      <w:numFmt w:val="bullet"/>
      <w:lvlText w:val="•"/>
      <w:lvlJc w:val="left"/>
      <w:pPr>
        <w:ind w:hanging="389" w:left="3209"/>
      </w:pPr>
      <w:rPr>
        <w:rFonts w:hint="default"/>
        <w:lang w:bidi="ar-SA" w:eastAsia="en-US" w:val="en-US"/>
      </w:rPr>
    </w:lvl>
    <w:lvl w:ilvl="4">
      <w:numFmt w:val="bullet"/>
      <w:lvlText w:val="•"/>
      <w:lvlJc w:val="left"/>
      <w:pPr>
        <w:ind w:hanging="389" w:left="4086"/>
      </w:pPr>
      <w:rPr>
        <w:rFonts w:hint="default"/>
        <w:lang w:bidi="ar-SA" w:eastAsia="en-US" w:val="en-US"/>
      </w:rPr>
    </w:lvl>
    <w:lvl w:ilvl="5">
      <w:numFmt w:val="bullet"/>
      <w:lvlText w:val="•"/>
      <w:lvlJc w:val="left"/>
      <w:pPr>
        <w:ind w:hanging="389" w:left="4963"/>
      </w:pPr>
      <w:rPr>
        <w:rFonts w:hint="default"/>
        <w:lang w:bidi="ar-SA" w:eastAsia="en-US" w:val="en-US"/>
      </w:rPr>
    </w:lvl>
    <w:lvl w:ilvl="6">
      <w:numFmt w:val="bullet"/>
      <w:lvlText w:val="•"/>
      <w:lvlJc w:val="left"/>
      <w:pPr>
        <w:ind w:hanging="389" w:left="5839"/>
      </w:pPr>
      <w:rPr>
        <w:rFonts w:hint="default"/>
        <w:lang w:bidi="ar-SA" w:eastAsia="en-US" w:val="en-US"/>
      </w:rPr>
    </w:lvl>
    <w:lvl w:ilvl="7">
      <w:numFmt w:val="bullet"/>
      <w:lvlText w:val="•"/>
      <w:lvlJc w:val="left"/>
      <w:pPr>
        <w:ind w:hanging="389" w:left="6716"/>
      </w:pPr>
      <w:rPr>
        <w:rFonts w:hint="default"/>
        <w:lang w:bidi="ar-SA" w:eastAsia="en-US" w:val="en-US"/>
      </w:rPr>
    </w:lvl>
    <w:lvl w:ilvl="8">
      <w:numFmt w:val="bullet"/>
      <w:lvlText w:val="•"/>
      <w:lvlJc w:val="left"/>
      <w:pPr>
        <w:ind w:hanging="389" w:left="7593"/>
      </w:pPr>
      <w:rPr>
        <w:rFonts w:hint="default"/>
        <w:lang w:bidi="ar-SA" w:eastAsia="en-US" w:val="en-US"/>
      </w:rPr>
    </w:lvl>
  </w:abstractNum>
  <w:abstractNum w15:restartNumberingAfterBreak="0" w:abstractNumId="16">
    <w:nsid w:val="6B7C410F"/>
    <w:multiLevelType w:val="hybridMultilevel"/>
    <w:tmpl w:val="450E95AA"/>
    <w:lvl w:ilvl="0" w:tplc="4968A45A">
      <w:start w:val="5"/>
      <w:numFmt w:val="decimal"/>
      <w:lvlText w:val="[%1]"/>
      <w:lvlJc w:val="left"/>
      <w:pPr>
        <w:ind w:hanging="346" w:left="825"/>
      </w:pPr>
      <w:rPr>
        <w:rFonts w:ascii="Times New Roman" w:cs="Times New Roman" w:eastAsia="Times New Roman" w:hAnsi="Times New Roman" w:hint="default"/>
        <w:spacing w:val="0"/>
        <w:w w:val="99"/>
        <w:sz w:val="24"/>
        <w:szCs w:val="24"/>
        <w:lang w:bidi="ar-SA" w:eastAsia="en-US" w:val="en-US"/>
      </w:rPr>
    </w:lvl>
    <w:lvl w:ilvl="1" w:tplc="B0762796">
      <w:numFmt w:val="bullet"/>
      <w:lvlText w:val="•"/>
      <w:lvlJc w:val="left"/>
      <w:pPr>
        <w:ind w:hanging="346" w:left="1628"/>
      </w:pPr>
      <w:rPr>
        <w:rFonts w:hint="default"/>
        <w:lang w:bidi="ar-SA" w:eastAsia="en-US" w:val="en-US"/>
      </w:rPr>
    </w:lvl>
    <w:lvl w:ilvl="2" w:tplc="E87430A4">
      <w:numFmt w:val="bullet"/>
      <w:lvlText w:val="•"/>
      <w:lvlJc w:val="left"/>
      <w:pPr>
        <w:ind w:hanging="346" w:left="2436"/>
      </w:pPr>
      <w:rPr>
        <w:rFonts w:hint="default"/>
        <w:lang w:bidi="ar-SA" w:eastAsia="en-US" w:val="en-US"/>
      </w:rPr>
    </w:lvl>
    <w:lvl w:ilvl="3" w:tplc="8B723844">
      <w:numFmt w:val="bullet"/>
      <w:lvlText w:val="•"/>
      <w:lvlJc w:val="left"/>
      <w:pPr>
        <w:ind w:hanging="346" w:left="3244"/>
      </w:pPr>
      <w:rPr>
        <w:rFonts w:hint="default"/>
        <w:lang w:bidi="ar-SA" w:eastAsia="en-US" w:val="en-US"/>
      </w:rPr>
    </w:lvl>
    <w:lvl w:ilvl="4" w:tplc="021437A6">
      <w:numFmt w:val="bullet"/>
      <w:lvlText w:val="•"/>
      <w:lvlJc w:val="left"/>
      <w:pPr>
        <w:ind w:hanging="346" w:left="4052"/>
      </w:pPr>
      <w:rPr>
        <w:rFonts w:hint="default"/>
        <w:lang w:bidi="ar-SA" w:eastAsia="en-US" w:val="en-US"/>
      </w:rPr>
    </w:lvl>
    <w:lvl w:ilvl="5" w:tplc="6CC8B948">
      <w:numFmt w:val="bullet"/>
      <w:lvlText w:val="•"/>
      <w:lvlJc w:val="left"/>
      <w:pPr>
        <w:ind w:hanging="346" w:left="4860"/>
      </w:pPr>
      <w:rPr>
        <w:rFonts w:hint="default"/>
        <w:lang w:bidi="ar-SA" w:eastAsia="en-US" w:val="en-US"/>
      </w:rPr>
    </w:lvl>
    <w:lvl w:ilvl="6" w:tplc="8D7C5780">
      <w:numFmt w:val="bullet"/>
      <w:lvlText w:val="•"/>
      <w:lvlJc w:val="left"/>
      <w:pPr>
        <w:ind w:hanging="346" w:left="5668"/>
      </w:pPr>
      <w:rPr>
        <w:rFonts w:hint="default"/>
        <w:lang w:bidi="ar-SA" w:eastAsia="en-US" w:val="en-US"/>
      </w:rPr>
    </w:lvl>
    <w:lvl w:ilvl="7" w:tplc="484E2802">
      <w:numFmt w:val="bullet"/>
      <w:lvlText w:val="•"/>
      <w:lvlJc w:val="left"/>
      <w:pPr>
        <w:ind w:hanging="346" w:left="6476"/>
      </w:pPr>
      <w:rPr>
        <w:rFonts w:hint="default"/>
        <w:lang w:bidi="ar-SA" w:eastAsia="en-US" w:val="en-US"/>
      </w:rPr>
    </w:lvl>
    <w:lvl w:ilvl="8" w:tplc="350A086E">
      <w:numFmt w:val="bullet"/>
      <w:lvlText w:val="•"/>
      <w:lvlJc w:val="left"/>
      <w:pPr>
        <w:ind w:hanging="346" w:left="7284"/>
      </w:pPr>
      <w:rPr>
        <w:rFonts w:hint="default"/>
        <w:lang w:bidi="ar-SA" w:eastAsia="en-US" w:val="en-US"/>
      </w:rPr>
    </w:lvl>
  </w:abstractNum>
  <w:abstractNum w15:restartNumberingAfterBreak="0" w:abstractNumId="17">
    <w:nsid w:val="6CC754F7"/>
    <w:multiLevelType w:val="multilevel"/>
    <w:tmpl w:val="B5BEAB8C"/>
    <w:lvl w:ilvl="0">
      <w:start w:val="3"/>
      <w:numFmt w:val="decimal"/>
      <w:lvlText w:val="%1"/>
      <w:lvlJc w:val="left"/>
      <w:pPr>
        <w:ind w:hanging="560" w:left="560"/>
      </w:pPr>
      <w:rPr>
        <w:rFonts w:hint="default"/>
      </w:rPr>
    </w:lvl>
    <w:lvl w:ilvl="1">
      <w:start w:val="2"/>
      <w:numFmt w:val="decimal"/>
      <w:lvlText w:val="%1.%2"/>
      <w:lvlJc w:val="left"/>
      <w:pPr>
        <w:ind w:hanging="560" w:left="955"/>
      </w:pPr>
      <w:rPr>
        <w:rFonts w:hint="default"/>
      </w:rPr>
    </w:lvl>
    <w:lvl w:ilvl="2">
      <w:start w:val="2"/>
      <w:numFmt w:val="decimal"/>
      <w:lvlText w:val="%1.%2.%3"/>
      <w:lvlJc w:val="left"/>
      <w:pPr>
        <w:ind w:hanging="720" w:left="1510"/>
      </w:pPr>
      <w:rPr>
        <w:rFonts w:hint="default"/>
      </w:rPr>
    </w:lvl>
    <w:lvl w:ilvl="3">
      <w:start w:val="1"/>
      <w:numFmt w:val="decimal"/>
      <w:lvlText w:val="%1.%2.%3.%4"/>
      <w:lvlJc w:val="left"/>
      <w:pPr>
        <w:ind w:hanging="1080" w:left="2265"/>
      </w:pPr>
      <w:rPr>
        <w:rFonts w:hint="default"/>
      </w:rPr>
    </w:lvl>
    <w:lvl w:ilvl="4">
      <w:start w:val="1"/>
      <w:numFmt w:val="decimal"/>
      <w:lvlText w:val="%1.%2.%3.%4.%5"/>
      <w:lvlJc w:val="left"/>
      <w:pPr>
        <w:ind w:hanging="1080" w:left="2660"/>
      </w:pPr>
      <w:rPr>
        <w:rFonts w:hint="default"/>
      </w:rPr>
    </w:lvl>
    <w:lvl w:ilvl="5">
      <w:start w:val="1"/>
      <w:numFmt w:val="decimal"/>
      <w:lvlText w:val="%1.%2.%3.%4.%5.%6"/>
      <w:lvlJc w:val="left"/>
      <w:pPr>
        <w:ind w:hanging="1440" w:left="3415"/>
      </w:pPr>
      <w:rPr>
        <w:rFonts w:hint="default"/>
      </w:rPr>
    </w:lvl>
    <w:lvl w:ilvl="6">
      <w:start w:val="1"/>
      <w:numFmt w:val="decimal"/>
      <w:lvlText w:val="%1.%2.%3.%4.%5.%6.%7"/>
      <w:lvlJc w:val="left"/>
      <w:pPr>
        <w:ind w:hanging="1440" w:left="3810"/>
      </w:pPr>
      <w:rPr>
        <w:rFonts w:hint="default"/>
      </w:rPr>
    </w:lvl>
    <w:lvl w:ilvl="7">
      <w:start w:val="1"/>
      <w:numFmt w:val="decimal"/>
      <w:lvlText w:val="%1.%2.%3.%4.%5.%6.%7.%8"/>
      <w:lvlJc w:val="left"/>
      <w:pPr>
        <w:ind w:hanging="1800" w:left="4565"/>
      </w:pPr>
      <w:rPr>
        <w:rFonts w:hint="default"/>
      </w:rPr>
    </w:lvl>
    <w:lvl w:ilvl="8">
      <w:start w:val="1"/>
      <w:numFmt w:val="decimal"/>
      <w:lvlText w:val="%1.%2.%3.%4.%5.%6.%7.%8.%9"/>
      <w:lvlJc w:val="left"/>
      <w:pPr>
        <w:ind w:hanging="2160" w:left="5320"/>
      </w:pPr>
      <w:rPr>
        <w:rFonts w:hint="default"/>
      </w:rPr>
    </w:lvl>
  </w:abstractNum>
  <w:abstractNum w15:restartNumberingAfterBreak="0" w:abstractNumId="18">
    <w:nsid w:val="735565B7"/>
    <w:multiLevelType w:val="multilevel"/>
    <w:tmpl w:val="C02A9D40"/>
    <w:lvl w:ilvl="0">
      <w:start w:val="1"/>
      <w:numFmt w:val="decimal"/>
      <w:lvlText w:val="%1"/>
      <w:lvlJc w:val="left"/>
      <w:pPr>
        <w:ind w:hanging="452" w:left="1041"/>
      </w:pPr>
      <w:rPr>
        <w:rFonts w:hint="default"/>
        <w:w w:val="99"/>
        <w:lang w:bidi="ar-SA" w:eastAsia="en-US" w:val="en-US"/>
      </w:rPr>
    </w:lvl>
    <w:lvl w:ilvl="1">
      <w:start w:val="1"/>
      <w:numFmt w:val="decimal"/>
      <w:lvlText w:val="%1.%2"/>
      <w:lvlJc w:val="left"/>
      <w:pPr>
        <w:ind w:hanging="538" w:left="1579"/>
      </w:pPr>
      <w:rPr>
        <w:rFonts w:ascii="Times New Roman" w:cs="Times New Roman" w:eastAsia="Times New Roman" w:hAnsi="Times New Roman" w:hint="default"/>
        <w:w w:val="99"/>
        <w:sz w:val="24"/>
        <w:szCs w:val="24"/>
        <w:lang w:bidi="ar-SA" w:eastAsia="en-US" w:val="en-US"/>
      </w:rPr>
    </w:lvl>
    <w:lvl w:ilvl="2">
      <w:numFmt w:val="bullet"/>
      <w:lvlText w:val="•"/>
      <w:lvlJc w:val="left"/>
      <w:pPr>
        <w:ind w:hanging="538" w:left="1580"/>
      </w:pPr>
      <w:rPr>
        <w:rFonts w:hint="default"/>
        <w:lang w:bidi="ar-SA" w:eastAsia="en-US" w:val="en-US"/>
      </w:rPr>
    </w:lvl>
    <w:lvl w:ilvl="3">
      <w:numFmt w:val="bullet"/>
      <w:lvlText w:val="•"/>
      <w:lvlJc w:val="left"/>
      <w:pPr>
        <w:ind w:hanging="538" w:left="2495"/>
      </w:pPr>
      <w:rPr>
        <w:rFonts w:hint="default"/>
        <w:lang w:bidi="ar-SA" w:eastAsia="en-US" w:val="en-US"/>
      </w:rPr>
    </w:lvl>
    <w:lvl w:ilvl="4">
      <w:numFmt w:val="bullet"/>
      <w:lvlText w:val="•"/>
      <w:lvlJc w:val="left"/>
      <w:pPr>
        <w:ind w:hanging="538" w:left="3410"/>
      </w:pPr>
      <w:rPr>
        <w:rFonts w:hint="default"/>
        <w:lang w:bidi="ar-SA" w:eastAsia="en-US" w:val="en-US"/>
      </w:rPr>
    </w:lvl>
    <w:lvl w:ilvl="5">
      <w:numFmt w:val="bullet"/>
      <w:lvlText w:val="•"/>
      <w:lvlJc w:val="left"/>
      <w:pPr>
        <w:ind w:hanging="538" w:left="4325"/>
      </w:pPr>
      <w:rPr>
        <w:rFonts w:hint="default"/>
        <w:lang w:bidi="ar-SA" w:eastAsia="en-US" w:val="en-US"/>
      </w:rPr>
    </w:lvl>
    <w:lvl w:ilvl="6">
      <w:numFmt w:val="bullet"/>
      <w:lvlText w:val="•"/>
      <w:lvlJc w:val="left"/>
      <w:pPr>
        <w:ind w:hanging="538" w:left="5240"/>
      </w:pPr>
      <w:rPr>
        <w:rFonts w:hint="default"/>
        <w:lang w:bidi="ar-SA" w:eastAsia="en-US" w:val="en-US"/>
      </w:rPr>
    </w:lvl>
    <w:lvl w:ilvl="7">
      <w:numFmt w:val="bullet"/>
      <w:lvlText w:val="•"/>
      <w:lvlJc w:val="left"/>
      <w:pPr>
        <w:ind w:hanging="538" w:left="6155"/>
      </w:pPr>
      <w:rPr>
        <w:rFonts w:hint="default"/>
        <w:lang w:bidi="ar-SA" w:eastAsia="en-US" w:val="en-US"/>
      </w:rPr>
    </w:lvl>
    <w:lvl w:ilvl="8">
      <w:numFmt w:val="bullet"/>
      <w:lvlText w:val="•"/>
      <w:lvlJc w:val="left"/>
      <w:pPr>
        <w:ind w:hanging="538" w:left="7070"/>
      </w:pPr>
      <w:rPr>
        <w:rFonts w:hint="default"/>
        <w:lang w:bidi="ar-SA" w:eastAsia="en-US" w:val="en-US"/>
      </w:rPr>
    </w:lvl>
  </w:abstractNum>
  <w:abstractNum w15:restartNumberingAfterBreak="0" w:abstractNumId="19">
    <w:nsid w:val="73D805B6"/>
    <w:multiLevelType w:val="multilevel"/>
    <w:tmpl w:val="E03A97D0"/>
    <w:lvl w:ilvl="0">
      <w:start w:val="4"/>
      <w:numFmt w:val="decimal"/>
      <w:lvlText w:val="%1"/>
      <w:lvlJc w:val="left"/>
      <w:pPr>
        <w:ind w:hanging="389" w:left="589"/>
      </w:pPr>
      <w:rPr>
        <w:rFonts w:hint="default"/>
        <w:lang w:bidi="ar-SA" w:eastAsia="en-US" w:val="en-US"/>
      </w:rPr>
    </w:lvl>
    <w:lvl w:ilvl="1">
      <w:start w:val="1"/>
      <w:numFmt w:val="decimal"/>
      <w:lvlText w:val="%1.%2"/>
      <w:lvlJc w:val="left"/>
      <w:pPr>
        <w:ind w:hanging="389" w:left="589"/>
      </w:pPr>
      <w:rPr>
        <w:rFonts w:ascii="Times New Roman" w:cs="Times New Roman" w:eastAsia="Times New Roman" w:hAnsi="Times New Roman" w:hint="default"/>
        <w:b/>
        <w:bCs/>
        <w:w w:val="99"/>
        <w:sz w:val="26"/>
        <w:szCs w:val="26"/>
        <w:lang w:bidi="ar-SA" w:eastAsia="en-US" w:val="en-US"/>
      </w:rPr>
    </w:lvl>
    <w:lvl w:ilvl="2">
      <w:start w:val="1"/>
      <w:numFmt w:val="decimal"/>
      <w:lvlText w:val="%3."/>
      <w:lvlJc w:val="left"/>
      <w:pPr>
        <w:ind w:hanging="360" w:left="920"/>
      </w:pPr>
      <w:rPr>
        <w:rFonts w:ascii="Times New Roman" w:cs="Times New Roman" w:eastAsia="Times New Roman" w:hAnsi="Times New Roman" w:hint="default"/>
        <w:w w:val="100"/>
        <w:sz w:val="24"/>
        <w:szCs w:val="24"/>
        <w:lang w:bidi="ar-SA" w:eastAsia="en-US" w:val="en-US"/>
      </w:rPr>
    </w:lvl>
    <w:lvl w:ilvl="3">
      <w:numFmt w:val="bullet"/>
      <w:lvlText w:val="•"/>
      <w:lvlJc w:val="left"/>
      <w:pPr>
        <w:ind w:hanging="360" w:left="2792"/>
      </w:pPr>
      <w:rPr>
        <w:rFonts w:hint="default"/>
        <w:lang w:bidi="ar-SA" w:eastAsia="en-US" w:val="en-US"/>
      </w:rPr>
    </w:lvl>
    <w:lvl w:ilvl="4">
      <w:numFmt w:val="bullet"/>
      <w:lvlText w:val="•"/>
      <w:lvlJc w:val="left"/>
      <w:pPr>
        <w:ind w:hanging="360" w:left="3728"/>
      </w:pPr>
      <w:rPr>
        <w:rFonts w:hint="default"/>
        <w:lang w:bidi="ar-SA" w:eastAsia="en-US" w:val="en-US"/>
      </w:rPr>
    </w:lvl>
    <w:lvl w:ilvl="5">
      <w:numFmt w:val="bullet"/>
      <w:lvlText w:val="•"/>
      <w:lvlJc w:val="left"/>
      <w:pPr>
        <w:ind w:hanging="360" w:left="4665"/>
      </w:pPr>
      <w:rPr>
        <w:rFonts w:hint="default"/>
        <w:lang w:bidi="ar-SA" w:eastAsia="en-US" w:val="en-US"/>
      </w:rPr>
    </w:lvl>
    <w:lvl w:ilvl="6">
      <w:numFmt w:val="bullet"/>
      <w:lvlText w:val="•"/>
      <w:lvlJc w:val="left"/>
      <w:pPr>
        <w:ind w:hanging="360" w:left="5601"/>
      </w:pPr>
      <w:rPr>
        <w:rFonts w:hint="default"/>
        <w:lang w:bidi="ar-SA" w:eastAsia="en-US" w:val="en-US"/>
      </w:rPr>
    </w:lvl>
    <w:lvl w:ilvl="7">
      <w:numFmt w:val="bullet"/>
      <w:lvlText w:val="•"/>
      <w:lvlJc w:val="left"/>
      <w:pPr>
        <w:ind w:hanging="360" w:left="6537"/>
      </w:pPr>
      <w:rPr>
        <w:rFonts w:hint="default"/>
        <w:lang w:bidi="ar-SA" w:eastAsia="en-US" w:val="en-US"/>
      </w:rPr>
    </w:lvl>
    <w:lvl w:ilvl="8">
      <w:numFmt w:val="bullet"/>
      <w:lvlText w:val="•"/>
      <w:lvlJc w:val="left"/>
      <w:pPr>
        <w:ind w:hanging="360" w:left="7473"/>
      </w:pPr>
      <w:rPr>
        <w:rFonts w:hint="default"/>
        <w:lang w:bidi="ar-SA" w:eastAsia="en-US" w:val="en-US"/>
      </w:rPr>
    </w:lvl>
  </w:abstractNum>
  <w:abstractNum w15:restartNumberingAfterBreak="0" w:abstractNumId="20">
    <w:nsid w:val="76DC18E7"/>
    <w:multiLevelType w:val="hybridMultilevel"/>
    <w:tmpl w:val="2C7C189E"/>
    <w:lvl w:ilvl="0" w:tplc="4009000F">
      <w:start w:val="1"/>
      <w:numFmt w:val="decimal"/>
      <w:lvlText w:val="%1."/>
      <w:lvlJc w:val="left"/>
      <w:pPr>
        <w:ind w:hanging="360" w:left="720"/>
      </w:pPr>
    </w:lvl>
    <w:lvl w:ilvl="1" w:tentative="1" w:tplc="40090019">
      <w:start w:val="1"/>
      <w:numFmt w:val="lowerLetter"/>
      <w:lvlText w:val="%2."/>
      <w:lvlJc w:val="left"/>
      <w:pPr>
        <w:ind w:hanging="360" w:left="1440"/>
      </w:pPr>
    </w:lvl>
    <w:lvl w:ilvl="2" w:tentative="1" w:tplc="4009001B">
      <w:start w:val="1"/>
      <w:numFmt w:val="lowerRoman"/>
      <w:lvlText w:val="%3."/>
      <w:lvlJc w:val="right"/>
      <w:pPr>
        <w:ind w:hanging="180" w:left="2160"/>
      </w:pPr>
    </w:lvl>
    <w:lvl w:ilvl="3" w:tentative="1" w:tplc="4009000F">
      <w:start w:val="1"/>
      <w:numFmt w:val="decimal"/>
      <w:lvlText w:val="%4."/>
      <w:lvlJc w:val="left"/>
      <w:pPr>
        <w:ind w:hanging="360" w:left="2880"/>
      </w:pPr>
    </w:lvl>
    <w:lvl w:ilvl="4" w:tentative="1" w:tplc="40090019">
      <w:start w:val="1"/>
      <w:numFmt w:val="lowerLetter"/>
      <w:lvlText w:val="%5."/>
      <w:lvlJc w:val="left"/>
      <w:pPr>
        <w:ind w:hanging="360" w:left="3600"/>
      </w:pPr>
    </w:lvl>
    <w:lvl w:ilvl="5" w:tentative="1" w:tplc="4009001B">
      <w:start w:val="1"/>
      <w:numFmt w:val="lowerRoman"/>
      <w:lvlText w:val="%6."/>
      <w:lvlJc w:val="right"/>
      <w:pPr>
        <w:ind w:hanging="180" w:left="4320"/>
      </w:pPr>
    </w:lvl>
    <w:lvl w:ilvl="6" w:tentative="1" w:tplc="4009000F">
      <w:start w:val="1"/>
      <w:numFmt w:val="decimal"/>
      <w:lvlText w:val="%7."/>
      <w:lvlJc w:val="left"/>
      <w:pPr>
        <w:ind w:hanging="360" w:left="5040"/>
      </w:pPr>
    </w:lvl>
    <w:lvl w:ilvl="7" w:tentative="1" w:tplc="40090019">
      <w:start w:val="1"/>
      <w:numFmt w:val="lowerLetter"/>
      <w:lvlText w:val="%8."/>
      <w:lvlJc w:val="left"/>
      <w:pPr>
        <w:ind w:hanging="360" w:left="5760"/>
      </w:pPr>
    </w:lvl>
    <w:lvl w:ilvl="8" w:tentative="1" w:tplc="4009001B">
      <w:start w:val="1"/>
      <w:numFmt w:val="lowerRoman"/>
      <w:lvlText w:val="%9."/>
      <w:lvlJc w:val="right"/>
      <w:pPr>
        <w:ind w:hanging="180" w:left="6480"/>
      </w:pPr>
    </w:lvl>
  </w:abstractNum>
  <w:abstractNum w15:restartNumberingAfterBreak="0" w:abstractNumId="21">
    <w:nsid w:val="7CDF507F"/>
    <w:multiLevelType w:val="multilevel"/>
    <w:tmpl w:val="A08A6F12"/>
    <w:lvl w:ilvl="0">
      <w:start w:val="3"/>
      <w:numFmt w:val="decimal"/>
      <w:lvlText w:val="%1"/>
      <w:lvlJc w:val="left"/>
      <w:pPr>
        <w:ind w:hanging="389" w:left="589"/>
      </w:pPr>
      <w:rPr>
        <w:rFonts w:hint="default"/>
        <w:lang w:bidi="ar-SA" w:eastAsia="en-US" w:val="en-US"/>
      </w:rPr>
    </w:lvl>
    <w:lvl w:ilvl="1">
      <w:start w:val="2"/>
      <w:numFmt w:val="decimal"/>
      <w:lvlText w:val="%1.%2"/>
      <w:lvlJc w:val="left"/>
      <w:pPr>
        <w:ind w:hanging="389" w:left="589"/>
      </w:pPr>
      <w:rPr>
        <w:rFonts w:ascii="Times New Roman" w:cs="Times New Roman" w:eastAsia="Times New Roman" w:hAnsi="Times New Roman" w:hint="default"/>
        <w:b/>
        <w:bCs/>
        <w:w w:val="99"/>
        <w:sz w:val="26"/>
        <w:szCs w:val="26"/>
        <w:lang w:bidi="ar-SA" w:eastAsia="en-US" w:val="en-US"/>
      </w:rPr>
    </w:lvl>
    <w:lvl w:ilvl="2">
      <w:start w:val="1"/>
      <w:numFmt w:val="decimal"/>
      <w:lvlText w:val="%1.%2.%3"/>
      <w:lvlJc w:val="left"/>
      <w:pPr>
        <w:ind w:hanging="540" w:left="740"/>
      </w:pPr>
      <w:rPr>
        <w:rFonts w:ascii="Times New Roman" w:cs="Times New Roman" w:eastAsia="Times New Roman" w:hAnsi="Times New Roman" w:hint="default"/>
        <w:b/>
        <w:bCs/>
        <w:i/>
        <w:iCs/>
        <w:w w:val="100"/>
        <w:sz w:val="24"/>
        <w:szCs w:val="24"/>
        <w:lang w:bidi="ar-SA" w:eastAsia="en-US" w:val="en-US"/>
      </w:rPr>
    </w:lvl>
    <w:lvl w:ilvl="3">
      <w:numFmt w:val="bullet"/>
      <w:lvlText w:val="•"/>
      <w:lvlJc w:val="left"/>
      <w:pPr>
        <w:ind w:hanging="540" w:left="2652"/>
      </w:pPr>
      <w:rPr>
        <w:rFonts w:hint="default"/>
        <w:lang w:bidi="ar-SA" w:eastAsia="en-US" w:val="en-US"/>
      </w:rPr>
    </w:lvl>
    <w:lvl w:ilvl="4">
      <w:numFmt w:val="bullet"/>
      <w:lvlText w:val="•"/>
      <w:lvlJc w:val="left"/>
      <w:pPr>
        <w:ind w:hanging="540" w:left="3608"/>
      </w:pPr>
      <w:rPr>
        <w:rFonts w:hint="default"/>
        <w:lang w:bidi="ar-SA" w:eastAsia="en-US" w:val="en-US"/>
      </w:rPr>
    </w:lvl>
    <w:lvl w:ilvl="5">
      <w:numFmt w:val="bullet"/>
      <w:lvlText w:val="•"/>
      <w:lvlJc w:val="left"/>
      <w:pPr>
        <w:ind w:hanging="540" w:left="4565"/>
      </w:pPr>
      <w:rPr>
        <w:rFonts w:hint="default"/>
        <w:lang w:bidi="ar-SA" w:eastAsia="en-US" w:val="en-US"/>
      </w:rPr>
    </w:lvl>
    <w:lvl w:ilvl="6">
      <w:numFmt w:val="bullet"/>
      <w:lvlText w:val="•"/>
      <w:lvlJc w:val="left"/>
      <w:pPr>
        <w:ind w:hanging="540" w:left="5521"/>
      </w:pPr>
      <w:rPr>
        <w:rFonts w:hint="default"/>
        <w:lang w:bidi="ar-SA" w:eastAsia="en-US" w:val="en-US"/>
      </w:rPr>
    </w:lvl>
    <w:lvl w:ilvl="7">
      <w:numFmt w:val="bullet"/>
      <w:lvlText w:val="•"/>
      <w:lvlJc w:val="left"/>
      <w:pPr>
        <w:ind w:hanging="540" w:left="6477"/>
      </w:pPr>
      <w:rPr>
        <w:rFonts w:hint="default"/>
        <w:lang w:bidi="ar-SA" w:eastAsia="en-US" w:val="en-US"/>
      </w:rPr>
    </w:lvl>
    <w:lvl w:ilvl="8">
      <w:numFmt w:val="bullet"/>
      <w:lvlText w:val="•"/>
      <w:lvlJc w:val="left"/>
      <w:pPr>
        <w:ind w:hanging="540" w:left="7433"/>
      </w:pPr>
      <w:rPr>
        <w:rFonts w:hint="default"/>
        <w:lang w:bidi="ar-SA" w:eastAsia="en-US" w:val="en-US"/>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904638662" w:numId="1">
    <w:abstractNumId w:val="16"/>
  </w:num>
  <w:num w16cid:durableId="95835748" w:numId="2">
    <w:abstractNumId w:val="13"/>
  </w:num>
  <w:num w16cid:durableId="1637222740" w:numId="3">
    <w:abstractNumId w:val="4"/>
  </w:num>
  <w:num w16cid:durableId="1962493278" w:numId="4">
    <w:abstractNumId w:val="18"/>
  </w:num>
  <w:num w16cid:durableId="757096885" w:numId="5">
    <w:abstractNumId w:val="8"/>
  </w:num>
  <w:num w16cid:durableId="424158705" w:numId="6">
    <w:abstractNumId w:val="17"/>
  </w:num>
  <w:num w16cid:durableId="2023044160" w:numId="7">
    <w:abstractNumId w:val="14"/>
  </w:num>
  <w:num w16cid:durableId="691341570" w:numId="8">
    <w:abstractNumId w:val="9"/>
  </w:num>
  <w:num w16cid:durableId="1484541546" w:numId="9">
    <w:abstractNumId w:val="10"/>
  </w:num>
  <w:num w16cid:durableId="212549642" w:numId="10">
    <w:abstractNumId w:val="5"/>
  </w:num>
  <w:num w16cid:durableId="820191156" w:numId="11">
    <w:abstractNumId w:val="12"/>
  </w:num>
  <w:num w16cid:durableId="1585140927" w:numId="12">
    <w:abstractNumId w:val="3"/>
  </w:num>
  <w:num w16cid:durableId="139467598" w:numId="13">
    <w:abstractNumId w:val="2"/>
  </w:num>
  <w:num w16cid:durableId="1609923638" w:numId="14">
    <w:abstractNumId w:val="6"/>
  </w:num>
  <w:num w16cid:durableId="865599522" w:numId="15">
    <w:abstractNumId w:val="15"/>
  </w:num>
  <w:num w16cid:durableId="740098456" w:numId="16">
    <w:abstractNumId w:val="7"/>
  </w:num>
  <w:num w16cid:durableId="1045519125" w:numId="17">
    <w:abstractNumId w:val="21"/>
  </w:num>
  <w:num w16cid:durableId="1060909667" w:numId="18">
    <w:abstractNumId w:val="1"/>
  </w:num>
  <w:num w16cid:durableId="1463619054" w:numId="19">
    <w:abstractNumId w:val="19"/>
  </w:num>
  <w:num w16cid:durableId="1522620700" w:numId="20">
    <w:abstractNumId w:val="0"/>
  </w:num>
  <w:num w16cid:durableId="1166899701" w:numId="21">
    <w:abstractNumId w:val="11"/>
  </w:num>
  <w:num w16cid:durableId="580022397" w:numId="22">
    <w:abstractNumId w:val="2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F5E"/>
    <w:rsid w:val="00031AD0"/>
    <w:rsid w:val="00066C8B"/>
    <w:rsid w:val="00092761"/>
    <w:rsid w:val="00120BCE"/>
    <w:rsid w:val="00144D87"/>
    <w:rsid w:val="001652DF"/>
    <w:rsid w:val="00186486"/>
    <w:rsid w:val="001B51AD"/>
    <w:rsid w:val="001E65ED"/>
    <w:rsid w:val="002045FA"/>
    <w:rsid w:val="00224A56"/>
    <w:rsid w:val="002423DA"/>
    <w:rsid w:val="002E6BED"/>
    <w:rsid w:val="00302CAA"/>
    <w:rsid w:val="003344F2"/>
    <w:rsid w:val="00351AFF"/>
    <w:rsid w:val="0036708D"/>
    <w:rsid w:val="003A5FCD"/>
    <w:rsid w:val="003E0D6D"/>
    <w:rsid w:val="004562F9"/>
    <w:rsid w:val="00482D0A"/>
    <w:rsid w:val="004B145E"/>
    <w:rsid w:val="004C5757"/>
    <w:rsid w:val="004D55AB"/>
    <w:rsid w:val="004F07CF"/>
    <w:rsid w:val="00506E35"/>
    <w:rsid w:val="00563F5E"/>
    <w:rsid w:val="00566720"/>
    <w:rsid w:val="005A64EC"/>
    <w:rsid w:val="005B1368"/>
    <w:rsid w:val="0068414A"/>
    <w:rsid w:val="00704051"/>
    <w:rsid w:val="00723326"/>
    <w:rsid w:val="00737856"/>
    <w:rsid w:val="00751E6B"/>
    <w:rsid w:val="007914E9"/>
    <w:rsid w:val="007C55E0"/>
    <w:rsid w:val="008A0993"/>
    <w:rsid w:val="008B1149"/>
    <w:rsid w:val="009C07E2"/>
    <w:rsid w:val="00B25FA8"/>
    <w:rsid w:val="00B8758A"/>
    <w:rsid w:val="00C20248"/>
    <w:rsid w:val="00CA00A4"/>
    <w:rsid w:val="00CE67F6"/>
    <w:rsid w:val="00D00D13"/>
    <w:rsid w:val="00D145DE"/>
    <w:rsid w:val="00D46130"/>
    <w:rsid w:val="00D63FCB"/>
    <w:rsid w:val="00D76879"/>
    <w:rsid w:val="00E3190D"/>
    <w:rsid w:val="00E45EE9"/>
    <w:rsid w:val="00EA137F"/>
    <w:rsid w:val="00EC633D"/>
    <w:rsid w:val="00F52AA5"/>
    <w:rsid w:val="00F71803"/>
    <w:rsid w:val="00FA3196"/>
    <w:rsid w:val="00FC0424"/>
  </w:rsids>
  <w:themeFontLang w:val="en-IN"/>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IN"/>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semiHidden="1" w:uiPriority="1" w:unhideWhenUsed="1"/>
    <w:lsdException w:name="toc 2" w:qFormat="1" w:semiHidden="1" w:uiPriority="1" w:unhideWhenUsed="1"/>
    <w:lsdException w:name="toc 3" w:qFormat="1" w:semiHidden="1" w:uiPriority="1"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1"/>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563F5E"/>
    <w:pPr>
      <w:widowControl w:val="0"/>
      <w:autoSpaceDE w:val="0"/>
      <w:autoSpaceDN w:val="0"/>
      <w:spacing w:after="0" w:line="240" w:lineRule="auto"/>
    </w:pPr>
    <w:rPr>
      <w:rFonts w:ascii="Times New Roman" w:cs="Times New Roman" w:eastAsia="Times New Roman" w:hAnsi="Times New Roman"/>
      <w:lang w:val="en-US"/>
    </w:rPr>
  </w:style>
  <w:style w:styleId="Heading1" w:type="paragraph">
    <w:name w:val="heading 1"/>
    <w:basedOn w:val="Normal"/>
    <w:link w:val="Heading1Char"/>
    <w:uiPriority w:val="9"/>
    <w:qFormat/>
    <w:rsid w:val="00563F5E"/>
    <w:pPr>
      <w:spacing w:before="61"/>
      <w:ind w:left="357"/>
      <w:jc w:val="center"/>
      <w:outlineLvl w:val="0"/>
    </w:pPr>
    <w:rPr>
      <w:b/>
      <w:bCs/>
      <w:sz w:val="36"/>
      <w:szCs w:val="36"/>
      <w:u w:color="000000" w:val="single"/>
    </w:rPr>
  </w:style>
  <w:style w:styleId="Heading2" w:type="paragraph">
    <w:name w:val="heading 2"/>
    <w:basedOn w:val="Normal"/>
    <w:link w:val="Heading2Char"/>
    <w:uiPriority w:val="9"/>
    <w:unhideWhenUsed/>
    <w:qFormat/>
    <w:rsid w:val="00563F5E"/>
    <w:pPr>
      <w:spacing w:before="75"/>
      <w:ind w:left="362"/>
      <w:jc w:val="center"/>
      <w:outlineLvl w:val="1"/>
    </w:pPr>
    <w:rPr>
      <w:b/>
      <w:bCs/>
      <w:sz w:val="32"/>
      <w:szCs w:val="32"/>
    </w:rPr>
  </w:style>
  <w:style w:styleId="Heading3" w:type="paragraph">
    <w:name w:val="heading 3"/>
    <w:basedOn w:val="Normal"/>
    <w:link w:val="Heading3Char"/>
    <w:uiPriority w:val="9"/>
    <w:unhideWhenUsed/>
    <w:qFormat/>
    <w:rsid w:val="00563F5E"/>
    <w:pPr>
      <w:spacing w:before="59"/>
      <w:jc w:val="center"/>
      <w:outlineLvl w:val="2"/>
    </w:pPr>
    <w:rPr>
      <w:b/>
      <w:bCs/>
      <w:sz w:val="28"/>
      <w:szCs w:val="2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563F5E"/>
    <w:rPr>
      <w:rFonts w:ascii="Times New Roman" w:cs="Times New Roman" w:eastAsia="Times New Roman" w:hAnsi="Times New Roman"/>
      <w:b/>
      <w:bCs/>
      <w:sz w:val="36"/>
      <w:szCs w:val="36"/>
      <w:u w:color="000000" w:val="single"/>
      <w:lang w:val="en-US"/>
    </w:rPr>
  </w:style>
  <w:style w:customStyle="1" w:styleId="Heading2Char" w:type="character">
    <w:name w:val="Heading 2 Char"/>
    <w:basedOn w:val="DefaultParagraphFont"/>
    <w:link w:val="Heading2"/>
    <w:uiPriority w:val="9"/>
    <w:rsid w:val="00563F5E"/>
    <w:rPr>
      <w:rFonts w:ascii="Times New Roman" w:cs="Times New Roman" w:eastAsia="Times New Roman" w:hAnsi="Times New Roman"/>
      <w:b/>
      <w:bCs/>
      <w:sz w:val="32"/>
      <w:szCs w:val="32"/>
      <w:lang w:val="en-US"/>
    </w:rPr>
  </w:style>
  <w:style w:customStyle="1" w:styleId="Heading3Char" w:type="character">
    <w:name w:val="Heading 3 Char"/>
    <w:basedOn w:val="DefaultParagraphFont"/>
    <w:link w:val="Heading3"/>
    <w:uiPriority w:val="9"/>
    <w:rsid w:val="00563F5E"/>
    <w:rPr>
      <w:rFonts w:ascii="Times New Roman" w:cs="Times New Roman" w:eastAsia="Times New Roman" w:hAnsi="Times New Roman"/>
      <w:b/>
      <w:bCs/>
      <w:sz w:val="28"/>
      <w:szCs w:val="28"/>
      <w:lang w:val="en-US"/>
    </w:rPr>
  </w:style>
  <w:style w:styleId="TOC1" w:type="paragraph">
    <w:name w:val="toc 1"/>
    <w:basedOn w:val="Normal"/>
    <w:uiPriority w:val="1"/>
    <w:qFormat/>
    <w:rsid w:val="00563F5E"/>
    <w:pPr>
      <w:spacing w:before="257"/>
      <w:ind w:hanging="452" w:left="1041"/>
    </w:pPr>
    <w:rPr>
      <w:b/>
      <w:bCs/>
      <w:sz w:val="24"/>
      <w:szCs w:val="24"/>
    </w:rPr>
  </w:style>
  <w:style w:styleId="TOC2" w:type="paragraph">
    <w:name w:val="toc 2"/>
    <w:basedOn w:val="Normal"/>
    <w:uiPriority w:val="1"/>
    <w:qFormat/>
    <w:rsid w:val="00563F5E"/>
    <w:pPr>
      <w:spacing w:before="255"/>
      <w:ind w:left="1041"/>
    </w:pPr>
    <w:rPr>
      <w:b/>
      <w:bCs/>
      <w:sz w:val="24"/>
      <w:szCs w:val="24"/>
    </w:rPr>
  </w:style>
  <w:style w:styleId="TOC3" w:type="paragraph">
    <w:name w:val="toc 3"/>
    <w:basedOn w:val="Normal"/>
    <w:uiPriority w:val="1"/>
    <w:qFormat/>
    <w:rsid w:val="00563F5E"/>
    <w:pPr>
      <w:spacing w:before="194"/>
      <w:ind w:hanging="539" w:left="1579"/>
    </w:pPr>
    <w:rPr>
      <w:sz w:val="24"/>
      <w:szCs w:val="24"/>
    </w:rPr>
  </w:style>
  <w:style w:styleId="BodyText" w:type="paragraph">
    <w:name w:val="Body Text"/>
    <w:basedOn w:val="Normal"/>
    <w:link w:val="BodyTextChar"/>
    <w:uiPriority w:val="1"/>
    <w:qFormat/>
    <w:rsid w:val="00563F5E"/>
    <w:rPr>
      <w:sz w:val="24"/>
      <w:szCs w:val="24"/>
    </w:rPr>
  </w:style>
  <w:style w:customStyle="1" w:styleId="BodyTextChar" w:type="character">
    <w:name w:val="Body Text Char"/>
    <w:basedOn w:val="DefaultParagraphFont"/>
    <w:link w:val="BodyText"/>
    <w:uiPriority w:val="1"/>
    <w:rsid w:val="00563F5E"/>
    <w:rPr>
      <w:rFonts w:ascii="Times New Roman" w:cs="Times New Roman" w:eastAsia="Times New Roman" w:hAnsi="Times New Roman"/>
      <w:sz w:val="24"/>
      <w:szCs w:val="24"/>
      <w:lang w:val="en-US"/>
    </w:rPr>
  </w:style>
  <w:style w:styleId="Title" w:type="paragraph">
    <w:name w:val="Title"/>
    <w:basedOn w:val="Normal"/>
    <w:link w:val="TitleChar"/>
    <w:uiPriority w:val="10"/>
    <w:qFormat/>
    <w:rsid w:val="00563F5E"/>
    <w:pPr>
      <w:spacing w:before="1" w:line="501" w:lineRule="exact"/>
      <w:ind w:left="373"/>
      <w:jc w:val="center"/>
    </w:pPr>
    <w:rPr>
      <w:b/>
      <w:bCs/>
      <w:sz w:val="44"/>
      <w:szCs w:val="44"/>
    </w:rPr>
  </w:style>
  <w:style w:customStyle="1" w:styleId="TitleChar" w:type="character">
    <w:name w:val="Title Char"/>
    <w:basedOn w:val="DefaultParagraphFont"/>
    <w:link w:val="Title"/>
    <w:uiPriority w:val="10"/>
    <w:rsid w:val="00563F5E"/>
    <w:rPr>
      <w:rFonts w:ascii="Times New Roman" w:cs="Times New Roman" w:eastAsia="Times New Roman" w:hAnsi="Times New Roman"/>
      <w:b/>
      <w:bCs/>
      <w:sz w:val="44"/>
      <w:szCs w:val="44"/>
      <w:lang w:val="en-US"/>
    </w:rPr>
  </w:style>
  <w:style w:styleId="ListParagraph" w:type="paragraph">
    <w:name w:val="List Paragraph"/>
    <w:basedOn w:val="Normal"/>
    <w:uiPriority w:val="1"/>
    <w:qFormat/>
    <w:rsid w:val="00563F5E"/>
    <w:pPr>
      <w:ind w:hanging="447" w:left="1041"/>
    </w:pPr>
  </w:style>
  <w:style w:customStyle="1" w:styleId="TableParagraph" w:type="paragraph">
    <w:name w:val="Table Paragraph"/>
    <w:basedOn w:val="Normal"/>
    <w:uiPriority w:val="1"/>
    <w:qFormat/>
    <w:rsid w:val="00563F5E"/>
  </w:style>
  <w:style w:styleId="TableGrid" w:type="table">
    <w:name w:val="Table Grid"/>
    <w:basedOn w:val="TableNormal"/>
    <w:uiPriority w:val="59"/>
    <w:rsid w:val="00563F5E"/>
    <w:pPr>
      <w:widowControl w:val="0"/>
      <w:autoSpaceDE w:val="0"/>
      <w:autoSpaceDN w:val="0"/>
      <w:spacing w:after="0" w:line="240" w:lineRule="auto"/>
    </w:pPr>
    <w:rPr>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Header" w:type="paragraph">
    <w:name w:val="header"/>
    <w:basedOn w:val="Normal"/>
    <w:link w:val="HeaderChar"/>
    <w:uiPriority w:val="99"/>
    <w:unhideWhenUsed/>
    <w:rsid w:val="00563F5E"/>
    <w:pPr>
      <w:tabs>
        <w:tab w:pos="4513" w:val="center"/>
        <w:tab w:pos="9026" w:val="right"/>
      </w:tabs>
    </w:pPr>
  </w:style>
  <w:style w:customStyle="1" w:styleId="HeaderChar" w:type="character">
    <w:name w:val="Header Char"/>
    <w:basedOn w:val="DefaultParagraphFont"/>
    <w:link w:val="Header"/>
    <w:uiPriority w:val="99"/>
    <w:rsid w:val="00563F5E"/>
    <w:rPr>
      <w:rFonts w:ascii="Times New Roman" w:cs="Times New Roman" w:eastAsia="Times New Roman" w:hAnsi="Times New Roman"/>
      <w:lang w:val="en-US"/>
    </w:rPr>
  </w:style>
  <w:style w:styleId="Footer" w:type="paragraph">
    <w:name w:val="footer"/>
    <w:basedOn w:val="Normal"/>
    <w:link w:val="FooterChar"/>
    <w:uiPriority w:val="99"/>
    <w:unhideWhenUsed/>
    <w:rsid w:val="00563F5E"/>
    <w:pPr>
      <w:tabs>
        <w:tab w:pos="4513" w:val="center"/>
        <w:tab w:pos="9026" w:val="right"/>
      </w:tabs>
    </w:pPr>
  </w:style>
  <w:style w:customStyle="1" w:styleId="FooterChar" w:type="character">
    <w:name w:val="Footer Char"/>
    <w:basedOn w:val="DefaultParagraphFont"/>
    <w:link w:val="Footer"/>
    <w:uiPriority w:val="99"/>
    <w:rsid w:val="00563F5E"/>
    <w:rPr>
      <w:rFonts w:ascii="Times New Roman" w:cs="Times New Roman" w:eastAsia="Times New Roman" w:hAnsi="Times New Roman"/>
      <w:lang w:val="en-US"/>
    </w:rPr>
  </w:style>
  <w:style w:customStyle="1" w:styleId="Style1" w:type="paragraph">
    <w:name w:val="Style1"/>
    <w:basedOn w:val="Normal"/>
    <w:link w:val="Style1Char"/>
    <w:qFormat/>
    <w:rsid w:val="001E65ED"/>
    <w:rPr>
      <w:shd w:color="auto" w:fill="FFFF00" w:val="clear"/>
    </w:rPr>
  </w:style>
  <w:style w:customStyle="1" w:styleId="Style1Char" w:type="character">
    <w:name w:val="Style1 Char"/>
    <w:basedOn w:val="DefaultParagraphFont"/>
    <w:link w:val="Style1"/>
    <w:rsid w:val="001E65ED"/>
    <w:rPr>
      <w:rFonts w:ascii="Times New Roman" w:cs="Times New Roman" w:eastAsia="Times New Roman" w:hAnsi="Times New Roman"/>
      <w:lang w:val="en-US"/>
    </w:rPr>
  </w:style>
  <w:style w:styleId="NormalWeb" w:type="paragraph">
    <w:name w:val="Normal (Web)"/>
    <w:basedOn w:val="Normal"/>
    <w:uiPriority w:val="99"/>
    <w:semiHidden/>
    <w:unhideWhenUsed/>
    <w:rsid w:val="00D76879"/>
    <w:pPr>
      <w:widowControl/>
      <w:autoSpaceDE/>
      <w:autoSpaceDN/>
      <w:spacing w:after="100" w:afterAutospacing="1" w:before="100" w:beforeAutospacing="1"/>
    </w:pPr>
    <w:rPr>
      <w:sz w:val="24"/>
      <w:szCs w:val="24"/>
      <w:lang w:eastAsia="en-IN" w:val="en-IN"/>
    </w:rPr>
  </w:style>
  <w:style w:customStyle="1" w:styleId="Style2" w:type="paragraph">
    <w:name w:val="Style2"/>
    <w:basedOn w:val="BodyText"/>
    <w:link w:val="Style2Char"/>
    <w:qFormat/>
    <w:rsid w:val="00D63FCB"/>
    <w:pPr>
      <w:spacing w:before="113" w:line="333" w:lineRule="auto"/>
      <w:ind w:right="-46"/>
      <w:jc w:val="center"/>
    </w:pPr>
    <w:rPr>
      <w:spacing w:val="-57"/>
    </w:rPr>
  </w:style>
  <w:style w:customStyle="1" w:styleId="Style3" w:type="paragraph">
    <w:name w:val="Style3"/>
    <w:basedOn w:val="Normal"/>
    <w:link w:val="Style3Char"/>
    <w:qFormat/>
    <w:rsid w:val="00D63FCB"/>
    <w:pPr>
      <w:tabs>
        <w:tab w:pos="3735" w:val="left"/>
      </w:tabs>
      <w:jc w:val="center"/>
    </w:pPr>
    <w:rPr>
      <w:sz w:val="24"/>
      <w:szCs w:val="24"/>
    </w:rPr>
  </w:style>
  <w:style w:customStyle="1" w:styleId="Style2Char" w:type="character">
    <w:name w:val="Style2 Char"/>
    <w:basedOn w:val="BodyTextChar"/>
    <w:link w:val="Style2"/>
    <w:rsid w:val="00D63FCB"/>
    <w:rPr>
      <w:rFonts w:ascii="Times New Roman" w:cs="Times New Roman" w:eastAsia="Times New Roman" w:hAnsi="Times New Roman"/>
      <w:spacing w:val="-57"/>
      <w:sz w:val="24"/>
      <w:szCs w:val="24"/>
      <w:lang w:val="en-US"/>
    </w:rPr>
  </w:style>
  <w:style w:customStyle="1" w:styleId="Style3Char" w:type="character">
    <w:name w:val="Style3 Char"/>
    <w:basedOn w:val="DefaultParagraphFont"/>
    <w:link w:val="Style3"/>
    <w:rsid w:val="00D63FCB"/>
    <w:rPr>
      <w:rFonts w:ascii="Times New Roman" w:cs="Times New Roman" w:eastAsia="Times New Roman" w:hAnsi="Times New Roman"/>
      <w:sz w:val="24"/>
      <w:szCs w:val="24"/>
      <w:lang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685560">
      <w:bodyDiv w:val="1"/>
      <w:marLeft w:val="0"/>
      <w:marRight w:val="0"/>
      <w:marTop w:val="0"/>
      <w:marBottom w:val="0"/>
      <w:divBdr>
        <w:top w:val="none" w:sz="0" w:space="0" w:color="auto"/>
        <w:left w:val="none" w:sz="0" w:space="0" w:color="auto"/>
        <w:bottom w:val="none" w:sz="0" w:space="0" w:color="auto"/>
        <w:right w:val="none" w:sz="0" w:space="0" w:color="auto"/>
      </w:divBdr>
      <w:divsChild>
        <w:div w:id="1401170081">
          <w:marLeft w:val="0"/>
          <w:marRight w:val="0"/>
          <w:marTop w:val="0"/>
          <w:marBottom w:val="0"/>
          <w:divBdr>
            <w:top w:val="none" w:sz="0" w:space="0" w:color="auto"/>
            <w:left w:val="none" w:sz="0" w:space="0" w:color="auto"/>
            <w:bottom w:val="none" w:sz="0" w:space="0" w:color="auto"/>
            <w:right w:val="none" w:sz="0" w:space="0" w:color="auto"/>
          </w:divBdr>
          <w:divsChild>
            <w:div w:id="1408839272">
              <w:marLeft w:val="0"/>
              <w:marRight w:val="0"/>
              <w:marTop w:val="0"/>
              <w:marBottom w:val="0"/>
              <w:divBdr>
                <w:top w:val="none" w:sz="0" w:space="0" w:color="auto"/>
                <w:left w:val="none" w:sz="0" w:space="0" w:color="auto"/>
                <w:bottom w:val="none" w:sz="0" w:space="0" w:color="auto"/>
                <w:right w:val="none" w:sz="0" w:space="0" w:color="auto"/>
              </w:divBdr>
              <w:divsChild>
                <w:div w:id="2071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8" Target="footer1.xml" Type="http://schemas.openxmlformats.org/officeDocument/2006/relationships/footer" /><Relationship Id="rId7" Target="media/image1.jpeg" Type="http://schemas.openxmlformats.org/officeDocument/2006/relationships/image" /><Relationship Id="rId11" Target="header2.xml" Type="http://schemas.openxmlformats.org/officeDocument/2006/relationships/header" /><Relationship Id="rId10" Target="footer2.xml" Type="http://schemas.openxmlformats.org/officeDocument/2006/relationships/footer" /><Relationship Id="rId9" Target="header1.xml" Type="http://schemas.openxmlformats.org/officeDocument/2006/relationships/header" /><Relationship Type="http://schemas.openxmlformats.org/officeDocument/2006/relationships/hyperlink" Id="rId90" Target="https://anchore.com/enterprise/" TargetMode="External" /><Relationship Type="http://schemas.openxmlformats.org/officeDocument/2006/relationships/hyperlink" Id="rId92" Target="https://arxiv.org/abs/2011.04216" TargetMode="External" /><Relationship Type="http://schemas.openxmlformats.org/officeDocument/2006/relationships/hyperlink" Id="rId102" Target="https://arxiv.org/abs/2503.02097" TargetMode="External" /><Relationship Type="http://schemas.openxmlformats.org/officeDocument/2006/relationships/hyperlink" Id="rId88" Target="https://cyclonedx.org/specification/archive/" TargetMode="External" /><Relationship Type="http://schemas.openxmlformats.org/officeDocument/2006/relationships/hyperlink" Id="rId97" Target="https://docs.sigstore.dev/cosign/" TargetMode="External" /><Relationship Type="http://schemas.openxmlformats.org/officeDocument/2006/relationships/hyperlink" Id="rId100" Target="https://docs.sigstore.dev/cosign/signing/signing_containers/" TargetMode="External" /><Relationship Type="http://schemas.openxmlformats.org/officeDocument/2006/relationships/hyperlink" Id="rId98" Target="https://ebpf.io/what-is-ebpf/" TargetMode="External" /><Relationship Type="http://schemas.openxmlformats.org/officeDocument/2006/relationships/hyperlink" Id="rId85" Target="https://falco.org/docs/" TargetMode="External" /><Relationship Type="http://schemas.openxmlformats.org/officeDocument/2006/relationships/hyperlink" Id="rId93" Target="https://github.com/GoogleCloudPlatform/microservices-demo" TargetMode="External" /><Relationship Type="http://schemas.openxmlformats.org/officeDocument/2006/relationships/hyperlink" Id="rId96" Target="https://github.com/anchore/syft" TargetMode="External" /><Relationship Type="http://schemas.openxmlformats.org/officeDocument/2006/relationships/hyperlink" Id="rId87" Target="https://github.com/aquasecurity/tracee" TargetMode="External" /><Relationship Type="http://schemas.openxmlformats.org/officeDocument/2006/relationships/hyperlink" Id="rId101" Target="https://github.com/libbpf/libbpf" TargetMode="External" /><Relationship Type="http://schemas.openxmlformats.org/officeDocument/2006/relationships/hyperlink" Id="rId99" Target="https://github.com/package-url/purl-spec" TargetMode="External" /><Relationship Type="http://schemas.openxmlformats.org/officeDocument/2006/relationships/hyperlink" Id="rId95" Target="https://kubearmor.io/" TargetMode="External" /><Relationship Type="http://schemas.openxmlformats.org/officeDocument/2006/relationships/hyperlink" Id="rId83" Target="https://logging.apache.org/log4j/2.x/security.html" TargetMode="External" /><Relationship Type="http://schemas.openxmlformats.org/officeDocument/2006/relationships/hyperlink" Id="rId84" Target="https://nvd.nist.gov/vuln/detail/CVE-2021-44228" TargetMode="External" /><Relationship Type="http://schemas.openxmlformats.org/officeDocument/2006/relationships/hyperlink" Id="rId91" Target="https://ox.security/" TargetMode="External" /><Relationship Type="http://schemas.openxmlformats.org/officeDocument/2006/relationships/hyperlink" Id="rId86" Target="https://tetragon.io/" TargetMode="External" /><Relationship Type="http://schemas.openxmlformats.org/officeDocument/2006/relationships/hyperlink" Id="rId82" Target="https://www.cisa.gov/news-events/cybersecurity-advisories/aa20-352a" TargetMode="External" /><Relationship Type="http://schemas.openxmlformats.org/officeDocument/2006/relationships/hyperlink" Id="rId94" Target="https://www.darpa.mil/research/programs/transparent-computing" TargetMode="External" /><Relationship Type="http://schemas.openxmlformats.org/officeDocument/2006/relationships/hyperlink" Id="rId89" Target="https://www.ntia.gov/report/2021/minimum-elements-software-bill-materials-sbom" TargetMode="External" /><Relationship Type="http://schemas.openxmlformats.org/officeDocument/2006/relationships/hyperlink" Id="rId81" Target="https://www.openwall.com/lists/oss-security/2024/03/29/4" TargetMode="External" /></Relationships>
</file>

<file path=word/_rels/footnotes.xml.rels><?xml version="1.0" encoding="UTF-8"?><Relationships xmlns="http://schemas.openxmlformats.org/package/2006/relationships"><Relationship Type="http://schemas.openxmlformats.org/officeDocument/2006/relationships/hyperlink" Id="rId90" Target="https://anchore.com/enterprise/" TargetMode="External" /><Relationship Type="http://schemas.openxmlformats.org/officeDocument/2006/relationships/hyperlink" Id="rId92" Target="https://arxiv.org/abs/2011.04216" TargetMode="External" /><Relationship Type="http://schemas.openxmlformats.org/officeDocument/2006/relationships/hyperlink" Id="rId102" Target="https://arxiv.org/abs/2503.02097" TargetMode="External" /><Relationship Type="http://schemas.openxmlformats.org/officeDocument/2006/relationships/hyperlink" Id="rId88" Target="https://cyclonedx.org/specification/archive/" TargetMode="External" /><Relationship Type="http://schemas.openxmlformats.org/officeDocument/2006/relationships/hyperlink" Id="rId97" Target="https://docs.sigstore.dev/cosign/" TargetMode="External" /><Relationship Type="http://schemas.openxmlformats.org/officeDocument/2006/relationships/hyperlink" Id="rId100" Target="https://docs.sigstore.dev/cosign/signing/signing_containers/" TargetMode="External" /><Relationship Type="http://schemas.openxmlformats.org/officeDocument/2006/relationships/hyperlink" Id="rId98" Target="https://ebpf.io/what-is-ebpf/" TargetMode="External" /><Relationship Type="http://schemas.openxmlformats.org/officeDocument/2006/relationships/hyperlink" Id="rId85" Target="https://falco.org/docs/" TargetMode="External" /><Relationship Type="http://schemas.openxmlformats.org/officeDocument/2006/relationships/hyperlink" Id="rId93" Target="https://github.com/GoogleCloudPlatform/microservices-demo" TargetMode="External" /><Relationship Type="http://schemas.openxmlformats.org/officeDocument/2006/relationships/hyperlink" Id="rId96" Target="https://github.com/anchore/syft" TargetMode="External" /><Relationship Type="http://schemas.openxmlformats.org/officeDocument/2006/relationships/hyperlink" Id="rId87" Target="https://github.com/aquasecurity/tracee" TargetMode="External" /><Relationship Type="http://schemas.openxmlformats.org/officeDocument/2006/relationships/hyperlink" Id="rId101" Target="https://github.com/libbpf/libbpf" TargetMode="External" /><Relationship Type="http://schemas.openxmlformats.org/officeDocument/2006/relationships/hyperlink" Id="rId99" Target="https://github.com/package-url/purl-spec" TargetMode="External" /><Relationship Type="http://schemas.openxmlformats.org/officeDocument/2006/relationships/hyperlink" Id="rId95" Target="https://kubearmor.io/" TargetMode="External" /><Relationship Type="http://schemas.openxmlformats.org/officeDocument/2006/relationships/hyperlink" Id="rId83" Target="https://logging.apache.org/log4j/2.x/security.html" TargetMode="External" /><Relationship Type="http://schemas.openxmlformats.org/officeDocument/2006/relationships/hyperlink" Id="rId84" Target="https://nvd.nist.gov/vuln/detail/CVE-2021-44228" TargetMode="External" /><Relationship Type="http://schemas.openxmlformats.org/officeDocument/2006/relationships/hyperlink" Id="rId91" Target="https://ox.security/" TargetMode="External" /><Relationship Type="http://schemas.openxmlformats.org/officeDocument/2006/relationships/hyperlink" Id="rId86" Target="https://tetragon.io/" TargetMode="External" /><Relationship Type="http://schemas.openxmlformats.org/officeDocument/2006/relationships/hyperlink" Id="rId82" Target="https://www.cisa.gov/news-events/cybersecurity-advisories/aa20-352a" TargetMode="External" /><Relationship Type="http://schemas.openxmlformats.org/officeDocument/2006/relationships/hyperlink" Id="rId94" Target="https://www.darpa.mil/research/programs/transparent-computing" TargetMode="External" /><Relationship Type="http://schemas.openxmlformats.org/officeDocument/2006/relationships/hyperlink" Id="rId89" Target="https://www.ntia.gov/report/2021/minimum-elements-software-bill-materials-sbom" TargetMode="External" /><Relationship Type="http://schemas.openxmlformats.org/officeDocument/2006/relationships/hyperlink" Id="rId81" Target="https://www.openwall.com/lists/oss-security/2024/03/29/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1023</Words>
  <Characters>5835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2026-10-27T03:45:58Z</dcterms:created>
  <dcterms:modified xsi:type="dcterms:W3CDTF">2026-10-27T03:45:58Z</dcterms:modified>
</cp:coreProperties>
</file>

<file path=docProps/custom.xml><?xml version="1.0" encoding="utf-8"?>
<Properties xmlns="http://schemas.openxmlformats.org/officeDocument/2006/custom-properties" xmlns:vt="http://schemas.openxmlformats.org/officeDocument/2006/docPropsVTypes"/>
</file>