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0A6" w:rsidRPr="008561EF" w:rsidRDefault="008561EF">
      <w:pPr>
        <w:rPr>
          <w:b/>
          <w:sz w:val="36"/>
          <w:szCs w:val="36"/>
          <w:u w:val="single"/>
          <w:lang w:val="en-US"/>
        </w:rPr>
      </w:pPr>
      <w:r w:rsidRPr="008561EF">
        <w:rPr>
          <w:b/>
          <w:sz w:val="36"/>
          <w:szCs w:val="36"/>
          <w:u w:val="single"/>
          <w:lang w:val="en-US"/>
        </w:rPr>
        <w:t>Contract specifications:</w:t>
      </w:r>
    </w:p>
    <w:tbl>
      <w:tblPr>
        <w:tblStyle w:val="TableGrid"/>
        <w:tblW w:w="0" w:type="auto"/>
        <w:tblLook w:val="04A0" w:firstRow="1" w:lastRow="0" w:firstColumn="1" w:lastColumn="0" w:noHBand="0" w:noVBand="1"/>
      </w:tblPr>
      <w:tblGrid>
        <w:gridCol w:w="4508"/>
        <w:gridCol w:w="4508"/>
      </w:tblGrid>
      <w:tr w:rsidR="00D93F90" w:rsidRPr="00D93F90" w:rsidTr="008561EF">
        <w:tc>
          <w:tcPr>
            <w:tcW w:w="4508" w:type="dxa"/>
          </w:tcPr>
          <w:p w:rsidR="008561EF" w:rsidRPr="00874DC4" w:rsidRDefault="008561EF">
            <w:pPr>
              <w:rPr>
                <w:rFonts w:cstheme="minorHAnsi"/>
                <w:sz w:val="24"/>
                <w:szCs w:val="24"/>
                <w:lang w:val="en-US"/>
              </w:rPr>
            </w:pPr>
            <w:r w:rsidRPr="00874DC4">
              <w:rPr>
                <w:rFonts w:cstheme="minorHAnsi"/>
                <w:sz w:val="24"/>
                <w:szCs w:val="24"/>
                <w:lang w:val="en-US"/>
              </w:rPr>
              <w:t>PRODUCT PARAMETERS</w:t>
            </w:r>
          </w:p>
        </w:tc>
        <w:tc>
          <w:tcPr>
            <w:tcW w:w="4508" w:type="dxa"/>
          </w:tcPr>
          <w:p w:rsidR="008561EF" w:rsidRPr="00874DC4" w:rsidRDefault="008561EF">
            <w:pPr>
              <w:rPr>
                <w:rFonts w:cstheme="minorHAnsi"/>
                <w:sz w:val="24"/>
                <w:szCs w:val="24"/>
                <w:lang w:val="en-US"/>
              </w:rPr>
            </w:pPr>
            <w:r w:rsidRPr="00874DC4">
              <w:rPr>
                <w:rFonts w:cstheme="minorHAnsi"/>
                <w:sz w:val="24"/>
                <w:szCs w:val="24"/>
                <w:lang w:val="en-US"/>
              </w:rPr>
              <w:t>GOLD MINI OPTIONS</w:t>
            </w:r>
          </w:p>
        </w:tc>
      </w:tr>
      <w:tr w:rsidR="00D93F90" w:rsidRPr="00D93F90" w:rsidTr="008561EF">
        <w:tc>
          <w:tcPr>
            <w:tcW w:w="4508" w:type="dxa"/>
          </w:tcPr>
          <w:p w:rsidR="008561EF" w:rsidRPr="00874DC4" w:rsidRDefault="008561EF">
            <w:pPr>
              <w:rPr>
                <w:rFonts w:cstheme="minorHAnsi"/>
                <w:sz w:val="24"/>
                <w:szCs w:val="24"/>
              </w:rPr>
            </w:pPr>
            <w:r w:rsidRPr="00874DC4">
              <w:rPr>
                <w:rFonts w:cstheme="minorHAnsi"/>
                <w:sz w:val="24"/>
                <w:szCs w:val="24"/>
                <w:lang w:val="en-US"/>
              </w:rPr>
              <w:t>UNDER</w:t>
            </w:r>
            <w:r w:rsidRPr="00874DC4">
              <w:rPr>
                <w:rFonts w:cstheme="minorHAnsi"/>
                <w:sz w:val="24"/>
                <w:szCs w:val="24"/>
              </w:rPr>
              <w:t xml:space="preserve">LYING </w:t>
            </w:r>
          </w:p>
        </w:tc>
        <w:tc>
          <w:tcPr>
            <w:tcW w:w="4508" w:type="dxa"/>
          </w:tcPr>
          <w:p w:rsidR="008561EF" w:rsidRPr="00874DC4" w:rsidRDefault="008561EF">
            <w:pPr>
              <w:rPr>
                <w:rFonts w:cstheme="minorHAnsi"/>
                <w:sz w:val="24"/>
                <w:szCs w:val="24"/>
                <w:lang w:val="en-US"/>
              </w:rPr>
            </w:pPr>
            <w:r w:rsidRPr="00874DC4">
              <w:rPr>
                <w:rFonts w:cstheme="minorHAnsi"/>
                <w:sz w:val="24"/>
                <w:szCs w:val="24"/>
                <w:lang w:val="en-US"/>
              </w:rPr>
              <w:t>Gold</w:t>
            </w:r>
          </w:p>
        </w:tc>
      </w:tr>
      <w:tr w:rsidR="00D93F90" w:rsidRPr="00D93F90" w:rsidTr="008561EF">
        <w:tc>
          <w:tcPr>
            <w:tcW w:w="4508" w:type="dxa"/>
          </w:tcPr>
          <w:p w:rsidR="008561EF" w:rsidRPr="00874DC4" w:rsidRDefault="008561EF">
            <w:pPr>
              <w:rPr>
                <w:rFonts w:cstheme="minorHAnsi"/>
                <w:sz w:val="24"/>
                <w:szCs w:val="24"/>
                <w:lang w:val="en-US"/>
              </w:rPr>
            </w:pPr>
            <w:r w:rsidRPr="00874DC4">
              <w:rPr>
                <w:rFonts w:cstheme="minorHAnsi"/>
                <w:sz w:val="24"/>
                <w:szCs w:val="24"/>
                <w:lang w:val="en-US"/>
              </w:rPr>
              <w:t>OPTIONS TYPE</w:t>
            </w:r>
          </w:p>
        </w:tc>
        <w:tc>
          <w:tcPr>
            <w:tcW w:w="4508" w:type="dxa"/>
          </w:tcPr>
          <w:p w:rsidR="008561EF" w:rsidRPr="00874DC4" w:rsidRDefault="008561EF">
            <w:pPr>
              <w:rPr>
                <w:rFonts w:cstheme="minorHAnsi"/>
                <w:sz w:val="24"/>
                <w:szCs w:val="24"/>
                <w:lang w:val="en-US"/>
              </w:rPr>
            </w:pPr>
            <w:r w:rsidRPr="00874DC4">
              <w:rPr>
                <w:rFonts w:cstheme="minorHAnsi"/>
                <w:sz w:val="24"/>
                <w:szCs w:val="24"/>
                <w:shd w:val="clear" w:color="auto" w:fill="FFFFFF"/>
              </w:rPr>
              <w:t>The Options Contracts shall be European styled which can be exercised only on the expiration date</w:t>
            </w:r>
          </w:p>
        </w:tc>
      </w:tr>
      <w:tr w:rsidR="00D93F90" w:rsidRPr="00D93F90" w:rsidTr="008561EF">
        <w:tc>
          <w:tcPr>
            <w:tcW w:w="4508" w:type="dxa"/>
          </w:tcPr>
          <w:p w:rsidR="008561EF" w:rsidRPr="00874DC4" w:rsidRDefault="008561EF">
            <w:pPr>
              <w:rPr>
                <w:rFonts w:cstheme="minorHAnsi"/>
                <w:sz w:val="24"/>
                <w:szCs w:val="24"/>
                <w:lang w:val="en-US"/>
              </w:rPr>
            </w:pPr>
            <w:r w:rsidRPr="00874DC4">
              <w:rPr>
                <w:rFonts w:cstheme="minorHAnsi"/>
                <w:sz w:val="24"/>
                <w:szCs w:val="24"/>
                <w:lang w:val="en-US"/>
              </w:rPr>
              <w:t>UNDERLYING SYMBOL</w:t>
            </w:r>
          </w:p>
        </w:tc>
        <w:tc>
          <w:tcPr>
            <w:tcW w:w="4508" w:type="dxa"/>
          </w:tcPr>
          <w:p w:rsidR="008561EF" w:rsidRPr="00874DC4" w:rsidRDefault="008561EF">
            <w:pPr>
              <w:rPr>
                <w:rFonts w:cstheme="minorHAnsi"/>
                <w:sz w:val="24"/>
                <w:szCs w:val="24"/>
                <w:lang w:val="en-US"/>
              </w:rPr>
            </w:pPr>
            <w:r w:rsidRPr="00874DC4">
              <w:rPr>
                <w:rFonts w:cstheme="minorHAnsi"/>
                <w:sz w:val="24"/>
                <w:szCs w:val="24"/>
                <w:lang w:val="en-US"/>
              </w:rPr>
              <w:t>GOLDM</w:t>
            </w:r>
          </w:p>
        </w:tc>
      </w:tr>
      <w:tr w:rsidR="00D93F90" w:rsidRPr="00D93F90" w:rsidTr="008561EF">
        <w:tc>
          <w:tcPr>
            <w:tcW w:w="4508" w:type="dxa"/>
          </w:tcPr>
          <w:p w:rsidR="008561EF" w:rsidRPr="00874DC4" w:rsidRDefault="008561EF">
            <w:pPr>
              <w:rPr>
                <w:rFonts w:cstheme="minorHAnsi"/>
                <w:sz w:val="24"/>
                <w:szCs w:val="24"/>
                <w:lang w:val="en-US"/>
              </w:rPr>
            </w:pPr>
            <w:r w:rsidRPr="00874DC4">
              <w:rPr>
                <w:rFonts w:cstheme="minorHAnsi"/>
                <w:sz w:val="24"/>
                <w:szCs w:val="24"/>
                <w:lang w:val="en-US"/>
              </w:rPr>
              <w:t>CONTRACT COMMENCEMENT DAY</w:t>
            </w:r>
          </w:p>
        </w:tc>
        <w:tc>
          <w:tcPr>
            <w:tcW w:w="4508" w:type="dxa"/>
          </w:tcPr>
          <w:p w:rsidR="008561EF" w:rsidRPr="00874DC4" w:rsidRDefault="008561EF">
            <w:pPr>
              <w:rPr>
                <w:rFonts w:cstheme="minorHAnsi"/>
                <w:sz w:val="24"/>
                <w:szCs w:val="24"/>
                <w:lang w:val="en-US"/>
              </w:rPr>
            </w:pPr>
            <w:r w:rsidRPr="00874DC4">
              <w:rPr>
                <w:rFonts w:cstheme="minorHAnsi"/>
                <w:sz w:val="24"/>
                <w:szCs w:val="24"/>
                <w:lang w:val="en-US"/>
              </w:rPr>
              <w:t>Business day immediately following the last trading day. (Expiry Day+1)</w:t>
            </w:r>
          </w:p>
        </w:tc>
      </w:tr>
      <w:tr w:rsidR="00D93F90" w:rsidRPr="00D93F90" w:rsidTr="008561EF">
        <w:tc>
          <w:tcPr>
            <w:tcW w:w="4508" w:type="dxa"/>
          </w:tcPr>
          <w:p w:rsidR="008561EF" w:rsidRPr="00874DC4" w:rsidRDefault="008561EF">
            <w:pPr>
              <w:rPr>
                <w:rFonts w:cstheme="minorHAnsi"/>
                <w:sz w:val="24"/>
                <w:szCs w:val="24"/>
                <w:lang w:val="en-US"/>
              </w:rPr>
            </w:pPr>
            <w:r w:rsidRPr="00874DC4">
              <w:rPr>
                <w:rFonts w:cstheme="minorHAnsi"/>
                <w:sz w:val="24"/>
                <w:szCs w:val="24"/>
                <w:lang w:val="en-US"/>
              </w:rPr>
              <w:t>LAST TRADING DAY</w:t>
            </w:r>
          </w:p>
        </w:tc>
        <w:tc>
          <w:tcPr>
            <w:tcW w:w="4508" w:type="dxa"/>
          </w:tcPr>
          <w:p w:rsidR="008561EF" w:rsidRPr="00874DC4" w:rsidRDefault="008561EF">
            <w:pPr>
              <w:rPr>
                <w:rFonts w:cstheme="minorHAnsi"/>
                <w:sz w:val="24"/>
                <w:szCs w:val="24"/>
                <w:lang w:val="en-US"/>
              </w:rPr>
            </w:pPr>
            <w:r w:rsidRPr="00874DC4">
              <w:rPr>
                <w:rFonts w:cstheme="minorHAnsi"/>
                <w:sz w:val="24"/>
                <w:szCs w:val="24"/>
                <w:shd w:val="clear" w:color="auto" w:fill="FFFFFF"/>
              </w:rPr>
              <w:t>Last Day of Trading shall be the business day preceding the start of tender period in the corresponding expiry Futures with the same underlying. In case the last business day is a holiday, then the preceding business day shall be the last trading day for the contract. Details as per the attached launch calendar (refer table below) On the day of expiry, the trading shall be allowed up to 11:30 pm/11:55 pm based on US daylight saving time period</w:t>
            </w:r>
          </w:p>
        </w:tc>
      </w:tr>
      <w:tr w:rsidR="00D93F90" w:rsidRPr="00D93F90" w:rsidTr="008561EF">
        <w:tc>
          <w:tcPr>
            <w:tcW w:w="4508" w:type="dxa"/>
          </w:tcPr>
          <w:p w:rsidR="008561EF" w:rsidRPr="00874DC4" w:rsidRDefault="00D93F90">
            <w:pPr>
              <w:rPr>
                <w:rFonts w:cstheme="minorHAnsi"/>
                <w:sz w:val="24"/>
                <w:szCs w:val="24"/>
              </w:rPr>
            </w:pPr>
            <w:r w:rsidRPr="00874DC4">
              <w:rPr>
                <w:rFonts w:cstheme="minorHAnsi"/>
                <w:sz w:val="24"/>
                <w:szCs w:val="24"/>
              </w:rPr>
              <w:t xml:space="preserve">TRADING UNIT </w:t>
            </w:r>
          </w:p>
        </w:tc>
        <w:tc>
          <w:tcPr>
            <w:tcW w:w="4508" w:type="dxa"/>
          </w:tcPr>
          <w:p w:rsidR="008561EF" w:rsidRPr="00874DC4" w:rsidRDefault="00D93F90">
            <w:pPr>
              <w:rPr>
                <w:rFonts w:cstheme="minorHAnsi"/>
                <w:sz w:val="24"/>
                <w:szCs w:val="24"/>
                <w:lang w:val="en-US"/>
              </w:rPr>
            </w:pPr>
            <w:r w:rsidRPr="00874DC4">
              <w:rPr>
                <w:rFonts w:cstheme="minorHAnsi"/>
                <w:sz w:val="24"/>
                <w:szCs w:val="24"/>
                <w:lang w:val="en-US"/>
              </w:rPr>
              <w:t>100 grams</w:t>
            </w:r>
          </w:p>
        </w:tc>
      </w:tr>
      <w:tr w:rsidR="008561EF" w:rsidRPr="00D93F90" w:rsidTr="008561EF">
        <w:tc>
          <w:tcPr>
            <w:tcW w:w="4508" w:type="dxa"/>
          </w:tcPr>
          <w:p w:rsidR="008561EF" w:rsidRPr="00874DC4" w:rsidRDefault="00D93F90">
            <w:pPr>
              <w:rPr>
                <w:rFonts w:cstheme="minorHAnsi"/>
                <w:sz w:val="24"/>
                <w:szCs w:val="24"/>
              </w:rPr>
            </w:pPr>
            <w:r w:rsidRPr="00874DC4">
              <w:rPr>
                <w:rFonts w:cstheme="minorHAnsi"/>
                <w:sz w:val="24"/>
                <w:szCs w:val="24"/>
              </w:rPr>
              <w:t>QUOTATION/BASE VALUE</w:t>
            </w:r>
          </w:p>
        </w:tc>
        <w:tc>
          <w:tcPr>
            <w:tcW w:w="4508" w:type="dxa"/>
          </w:tcPr>
          <w:p w:rsidR="008561EF" w:rsidRPr="00874DC4" w:rsidRDefault="00D93F90">
            <w:pPr>
              <w:rPr>
                <w:rFonts w:cstheme="minorHAnsi"/>
                <w:sz w:val="24"/>
                <w:szCs w:val="24"/>
                <w:lang w:val="en-US"/>
              </w:rPr>
            </w:pPr>
            <w:r w:rsidRPr="00874DC4">
              <w:rPr>
                <w:rFonts w:cstheme="minorHAnsi"/>
                <w:sz w:val="24"/>
                <w:szCs w:val="24"/>
                <w:shd w:val="clear" w:color="auto" w:fill="FFFFFF"/>
              </w:rPr>
              <w:t>₹ </w:t>
            </w:r>
            <w:r w:rsidRPr="00874DC4">
              <w:rPr>
                <w:rFonts w:cstheme="minorHAnsi"/>
                <w:sz w:val="24"/>
                <w:szCs w:val="24"/>
                <w:shd w:val="clear" w:color="auto" w:fill="FFFFFF"/>
              </w:rPr>
              <w:t>per grams</w:t>
            </w:r>
          </w:p>
        </w:tc>
      </w:tr>
      <w:tr w:rsidR="00D93F90" w:rsidRPr="00D93F90" w:rsidTr="008561EF">
        <w:tc>
          <w:tcPr>
            <w:tcW w:w="4508" w:type="dxa"/>
          </w:tcPr>
          <w:p w:rsidR="008561EF" w:rsidRPr="00874DC4" w:rsidRDefault="00D93F90">
            <w:pPr>
              <w:rPr>
                <w:rFonts w:cstheme="minorHAnsi"/>
                <w:sz w:val="24"/>
                <w:szCs w:val="24"/>
                <w:lang w:val="en-US"/>
              </w:rPr>
            </w:pPr>
            <w:r w:rsidRPr="00874DC4">
              <w:rPr>
                <w:rFonts w:cstheme="minorHAnsi"/>
                <w:sz w:val="24"/>
                <w:szCs w:val="24"/>
                <w:lang w:val="en-US"/>
              </w:rPr>
              <w:t>UNDERLYING PRICE QUOTE</w:t>
            </w:r>
          </w:p>
        </w:tc>
        <w:tc>
          <w:tcPr>
            <w:tcW w:w="4508" w:type="dxa"/>
          </w:tcPr>
          <w:p w:rsidR="008561EF" w:rsidRPr="00874DC4" w:rsidRDefault="00D93F90">
            <w:pPr>
              <w:rPr>
                <w:rFonts w:cstheme="minorHAnsi"/>
                <w:sz w:val="24"/>
                <w:szCs w:val="24"/>
                <w:lang w:val="en-US"/>
              </w:rPr>
            </w:pPr>
            <w:r w:rsidRPr="00874DC4">
              <w:rPr>
                <w:rFonts w:cstheme="minorHAnsi"/>
                <w:sz w:val="24"/>
                <w:szCs w:val="24"/>
                <w:shd w:val="clear" w:color="auto" w:fill="FFFFFF"/>
              </w:rPr>
              <w:t>Ex-Ahmedabad </w:t>
            </w:r>
          </w:p>
        </w:tc>
      </w:tr>
      <w:tr w:rsidR="00D93F90" w:rsidRPr="00D93F90" w:rsidTr="008561EF">
        <w:tc>
          <w:tcPr>
            <w:tcW w:w="4508" w:type="dxa"/>
          </w:tcPr>
          <w:p w:rsidR="008561EF" w:rsidRPr="00874DC4" w:rsidRDefault="00D93F90">
            <w:pPr>
              <w:rPr>
                <w:rFonts w:cstheme="minorHAnsi"/>
                <w:sz w:val="24"/>
                <w:szCs w:val="24"/>
                <w:lang w:val="en-US"/>
              </w:rPr>
            </w:pPr>
            <w:r w:rsidRPr="00874DC4">
              <w:rPr>
                <w:rFonts w:cstheme="minorHAnsi"/>
                <w:sz w:val="24"/>
                <w:szCs w:val="24"/>
                <w:lang w:val="en-US"/>
              </w:rPr>
              <w:t>MAXIMUM ORDER SIZE</w:t>
            </w:r>
          </w:p>
        </w:tc>
        <w:tc>
          <w:tcPr>
            <w:tcW w:w="4508" w:type="dxa"/>
          </w:tcPr>
          <w:p w:rsidR="008561EF" w:rsidRPr="00874DC4" w:rsidRDefault="00D93F90">
            <w:pPr>
              <w:rPr>
                <w:rFonts w:cstheme="minorHAnsi"/>
                <w:sz w:val="24"/>
                <w:szCs w:val="24"/>
                <w:lang w:val="en-US"/>
              </w:rPr>
            </w:pPr>
            <w:r w:rsidRPr="00874DC4">
              <w:rPr>
                <w:rFonts w:cstheme="minorHAnsi"/>
                <w:sz w:val="24"/>
                <w:szCs w:val="24"/>
                <w:lang w:val="en-US"/>
              </w:rPr>
              <w:t>10kg</w:t>
            </w:r>
          </w:p>
        </w:tc>
      </w:tr>
      <w:tr w:rsidR="00D93F90" w:rsidRPr="00D93F90" w:rsidTr="008561EF">
        <w:tc>
          <w:tcPr>
            <w:tcW w:w="4508" w:type="dxa"/>
          </w:tcPr>
          <w:p w:rsidR="008561EF" w:rsidRPr="00874DC4" w:rsidRDefault="00D93F90">
            <w:pPr>
              <w:rPr>
                <w:rFonts w:cstheme="minorHAnsi"/>
                <w:sz w:val="24"/>
                <w:szCs w:val="24"/>
                <w:lang w:val="en-US"/>
              </w:rPr>
            </w:pPr>
            <w:r w:rsidRPr="00874DC4">
              <w:rPr>
                <w:rFonts w:cstheme="minorHAnsi"/>
                <w:sz w:val="24"/>
                <w:szCs w:val="24"/>
                <w:lang w:val="en-US"/>
              </w:rPr>
              <w:t xml:space="preserve">TICK SIZE </w:t>
            </w:r>
          </w:p>
        </w:tc>
        <w:tc>
          <w:tcPr>
            <w:tcW w:w="4508" w:type="dxa"/>
          </w:tcPr>
          <w:p w:rsidR="008561EF" w:rsidRPr="00874DC4" w:rsidRDefault="00D93F90">
            <w:pPr>
              <w:rPr>
                <w:rFonts w:cstheme="minorHAnsi"/>
                <w:sz w:val="24"/>
                <w:szCs w:val="24"/>
                <w:lang w:val="en-US"/>
              </w:rPr>
            </w:pPr>
            <w:r w:rsidRPr="00874DC4">
              <w:rPr>
                <w:rFonts w:cstheme="minorHAnsi"/>
                <w:sz w:val="24"/>
                <w:szCs w:val="24"/>
                <w:shd w:val="clear" w:color="auto" w:fill="FFFFFF"/>
              </w:rPr>
              <w:t>₹</w:t>
            </w:r>
            <w:r w:rsidRPr="00874DC4">
              <w:rPr>
                <w:rFonts w:cstheme="minorHAnsi"/>
                <w:sz w:val="24"/>
                <w:szCs w:val="24"/>
                <w:shd w:val="clear" w:color="auto" w:fill="FFFFFF"/>
              </w:rPr>
              <w:t xml:space="preserve"> 0.50</w:t>
            </w:r>
          </w:p>
        </w:tc>
      </w:tr>
      <w:tr w:rsidR="00D93F90" w:rsidRPr="00D93F90" w:rsidTr="008561EF">
        <w:tc>
          <w:tcPr>
            <w:tcW w:w="4508" w:type="dxa"/>
          </w:tcPr>
          <w:p w:rsidR="00D93F90" w:rsidRPr="00874DC4" w:rsidRDefault="00D93F90">
            <w:pPr>
              <w:rPr>
                <w:rFonts w:cstheme="minorHAnsi"/>
                <w:sz w:val="24"/>
                <w:szCs w:val="24"/>
                <w:lang w:val="en-US"/>
              </w:rPr>
            </w:pPr>
            <w:r w:rsidRPr="00874DC4">
              <w:rPr>
                <w:rFonts w:cstheme="minorHAnsi"/>
                <w:sz w:val="24"/>
                <w:szCs w:val="24"/>
                <w:lang w:val="en-US"/>
              </w:rPr>
              <w:t>STRIKE INTERVAL</w:t>
            </w:r>
          </w:p>
        </w:tc>
        <w:tc>
          <w:tcPr>
            <w:tcW w:w="4508" w:type="dxa"/>
          </w:tcPr>
          <w:p w:rsidR="00D93F90" w:rsidRPr="00874DC4" w:rsidRDefault="00D93F90">
            <w:pPr>
              <w:rPr>
                <w:rFonts w:cstheme="minorHAnsi"/>
                <w:sz w:val="24"/>
                <w:szCs w:val="24"/>
                <w:shd w:val="clear" w:color="auto" w:fill="FFFFFF"/>
              </w:rPr>
            </w:pPr>
            <w:r w:rsidRPr="00874DC4">
              <w:rPr>
                <w:rFonts w:cstheme="minorHAnsi"/>
                <w:sz w:val="24"/>
                <w:szCs w:val="24"/>
                <w:shd w:val="clear" w:color="auto" w:fill="FFFFFF"/>
              </w:rPr>
              <w:t>250</w:t>
            </w:r>
          </w:p>
        </w:tc>
      </w:tr>
      <w:tr w:rsidR="00D93F90" w:rsidRPr="00D93F90" w:rsidTr="008561EF">
        <w:tc>
          <w:tcPr>
            <w:tcW w:w="4508" w:type="dxa"/>
          </w:tcPr>
          <w:p w:rsidR="00D93F90" w:rsidRPr="00874DC4" w:rsidRDefault="00D93F90">
            <w:pPr>
              <w:rPr>
                <w:rFonts w:cstheme="minorHAnsi"/>
                <w:sz w:val="24"/>
                <w:szCs w:val="24"/>
                <w:lang w:val="en-US"/>
              </w:rPr>
            </w:pPr>
            <w:r w:rsidRPr="00874DC4">
              <w:rPr>
                <w:rFonts w:cstheme="minorHAnsi"/>
                <w:sz w:val="24"/>
                <w:szCs w:val="24"/>
                <w:lang w:val="en-US"/>
              </w:rPr>
              <w:t>DAILY PRICE LIMIT</w:t>
            </w:r>
          </w:p>
        </w:tc>
        <w:tc>
          <w:tcPr>
            <w:tcW w:w="4508" w:type="dxa"/>
          </w:tcPr>
          <w:p w:rsidR="00D93F90" w:rsidRPr="00874DC4" w:rsidRDefault="00D93F90">
            <w:pPr>
              <w:rPr>
                <w:rFonts w:cstheme="minorHAnsi"/>
                <w:sz w:val="24"/>
                <w:szCs w:val="24"/>
                <w:shd w:val="clear" w:color="auto" w:fill="FFFFFF"/>
              </w:rPr>
            </w:pPr>
            <w:r w:rsidRPr="00874DC4">
              <w:rPr>
                <w:rFonts w:cstheme="minorHAnsi"/>
                <w:sz w:val="24"/>
                <w:szCs w:val="24"/>
                <w:shd w:val="clear" w:color="auto" w:fill="FFFFFF"/>
              </w:rPr>
              <w:t>A contract specific price range based on multiple factors including its delta value, DPR of Futures contract of the same commodity and volatility, is computed and updated on a daily basis.</w:t>
            </w:r>
          </w:p>
        </w:tc>
      </w:tr>
      <w:tr w:rsidR="00D93F90" w:rsidRPr="00D93F90" w:rsidTr="008561EF">
        <w:tc>
          <w:tcPr>
            <w:tcW w:w="4508" w:type="dxa"/>
          </w:tcPr>
          <w:p w:rsidR="00D93F90" w:rsidRPr="00874DC4" w:rsidRDefault="00D93F90">
            <w:pPr>
              <w:rPr>
                <w:rFonts w:cstheme="minorHAnsi"/>
                <w:sz w:val="24"/>
                <w:szCs w:val="24"/>
                <w:lang w:val="en-US"/>
              </w:rPr>
            </w:pPr>
            <w:r w:rsidRPr="00874DC4">
              <w:rPr>
                <w:rFonts w:cstheme="minorHAnsi"/>
                <w:sz w:val="24"/>
                <w:szCs w:val="24"/>
                <w:lang w:val="en-US"/>
              </w:rPr>
              <w:t>Initial Margin</w:t>
            </w:r>
          </w:p>
        </w:tc>
        <w:tc>
          <w:tcPr>
            <w:tcW w:w="4508" w:type="dxa"/>
          </w:tcPr>
          <w:p w:rsidR="00D93F90" w:rsidRPr="00874DC4" w:rsidRDefault="00D93F90">
            <w:pPr>
              <w:rPr>
                <w:rFonts w:cstheme="minorHAnsi"/>
                <w:sz w:val="24"/>
                <w:szCs w:val="24"/>
                <w:shd w:val="clear" w:color="auto" w:fill="FFFFFF"/>
              </w:rPr>
            </w:pPr>
            <w:bookmarkStart w:id="0" w:name="_GoBack"/>
            <w:bookmarkEnd w:id="0"/>
          </w:p>
        </w:tc>
      </w:tr>
      <w:tr w:rsidR="00D93F90" w:rsidRPr="00D93F90" w:rsidTr="008561EF">
        <w:tc>
          <w:tcPr>
            <w:tcW w:w="4508" w:type="dxa"/>
          </w:tcPr>
          <w:p w:rsidR="00D93F90" w:rsidRPr="00874DC4" w:rsidRDefault="00D93F90">
            <w:pPr>
              <w:rPr>
                <w:rFonts w:cstheme="minorHAnsi"/>
                <w:sz w:val="24"/>
                <w:szCs w:val="24"/>
                <w:lang w:val="en-US"/>
              </w:rPr>
            </w:pPr>
            <w:r w:rsidRPr="00874DC4">
              <w:rPr>
                <w:rFonts w:cstheme="minorHAnsi"/>
                <w:sz w:val="24"/>
                <w:szCs w:val="24"/>
                <w:lang w:val="en-US"/>
              </w:rPr>
              <w:t>Extreme loss margin</w:t>
            </w:r>
          </w:p>
        </w:tc>
        <w:tc>
          <w:tcPr>
            <w:tcW w:w="4508" w:type="dxa"/>
          </w:tcPr>
          <w:p w:rsidR="00D93F90" w:rsidRPr="00874DC4" w:rsidRDefault="00D93F90">
            <w:pPr>
              <w:rPr>
                <w:rFonts w:cstheme="minorHAnsi"/>
                <w:sz w:val="24"/>
                <w:szCs w:val="24"/>
                <w:shd w:val="clear" w:color="auto" w:fill="FFFFFF"/>
              </w:rPr>
            </w:pPr>
            <w:r w:rsidRPr="00874DC4">
              <w:rPr>
                <w:rFonts w:cstheme="minorHAnsi"/>
                <w:sz w:val="24"/>
                <w:szCs w:val="24"/>
                <w:shd w:val="clear" w:color="auto" w:fill="FFFFFF"/>
              </w:rPr>
              <w:t>ELM of 1% on short open positions shall be levied and shall be deducted from the liquid assets of the clearing member on an online, real time basis.</w:t>
            </w:r>
          </w:p>
        </w:tc>
      </w:tr>
      <w:tr w:rsidR="00D93F90" w:rsidRPr="00D93F90" w:rsidTr="008561EF">
        <w:tc>
          <w:tcPr>
            <w:tcW w:w="4508" w:type="dxa"/>
          </w:tcPr>
          <w:p w:rsidR="00D93F90" w:rsidRPr="00874DC4" w:rsidRDefault="00D93F90">
            <w:pPr>
              <w:rPr>
                <w:rFonts w:cstheme="minorHAnsi"/>
                <w:sz w:val="24"/>
                <w:szCs w:val="24"/>
                <w:lang w:val="en-US"/>
              </w:rPr>
            </w:pPr>
            <w:r w:rsidRPr="00874DC4">
              <w:rPr>
                <w:rFonts w:cstheme="minorHAnsi"/>
                <w:sz w:val="24"/>
                <w:szCs w:val="24"/>
                <w:lang w:val="en-US"/>
              </w:rPr>
              <w:t>Maximum Allowable open position</w:t>
            </w:r>
          </w:p>
        </w:tc>
        <w:tc>
          <w:tcPr>
            <w:tcW w:w="4508" w:type="dxa"/>
          </w:tcPr>
          <w:p w:rsidR="00D93F90" w:rsidRPr="00874DC4" w:rsidRDefault="00D93F90">
            <w:pPr>
              <w:rPr>
                <w:rFonts w:cstheme="minorHAnsi"/>
                <w:sz w:val="24"/>
                <w:szCs w:val="24"/>
                <w:shd w:val="clear" w:color="auto" w:fill="FFFFFF"/>
              </w:rPr>
            </w:pPr>
            <w:r w:rsidRPr="00874DC4">
              <w:rPr>
                <w:rFonts w:cstheme="minorHAnsi"/>
                <w:sz w:val="24"/>
                <w:szCs w:val="24"/>
                <w:shd w:val="clear" w:color="auto" w:fill="FFFFFF"/>
              </w:rPr>
              <w:t>For individual client: 10 MT or 5% of the market wide open position whichever is higher, for all Gold Options contracts combined together.</w:t>
            </w:r>
          </w:p>
          <w:p w:rsidR="00874DC4" w:rsidRPr="00874DC4" w:rsidRDefault="00874DC4">
            <w:pPr>
              <w:rPr>
                <w:rFonts w:cstheme="minorHAnsi"/>
                <w:sz w:val="24"/>
                <w:szCs w:val="24"/>
                <w:shd w:val="clear" w:color="auto" w:fill="FFFFFF"/>
              </w:rPr>
            </w:pPr>
            <w:r w:rsidRPr="00874DC4">
              <w:rPr>
                <w:rFonts w:cstheme="minorHAnsi"/>
                <w:sz w:val="24"/>
                <w:szCs w:val="24"/>
                <w:shd w:val="clear" w:color="auto" w:fill="FFFFFF"/>
              </w:rPr>
              <w:t>For a member collectively for all clients: 100 MT or 20% of the market wide open position whichever is higher, for all Gold Options contracts combined together.</w:t>
            </w:r>
          </w:p>
        </w:tc>
      </w:tr>
      <w:tr w:rsidR="00874DC4" w:rsidRPr="00D93F90" w:rsidTr="008561EF">
        <w:tc>
          <w:tcPr>
            <w:tcW w:w="4508" w:type="dxa"/>
          </w:tcPr>
          <w:p w:rsidR="00874DC4" w:rsidRPr="00874DC4" w:rsidRDefault="00874DC4">
            <w:pPr>
              <w:rPr>
                <w:rFonts w:cstheme="minorHAnsi"/>
                <w:sz w:val="24"/>
                <w:szCs w:val="24"/>
                <w:lang w:val="en-US"/>
              </w:rPr>
            </w:pPr>
            <w:r w:rsidRPr="00874DC4">
              <w:rPr>
                <w:rFonts w:cstheme="minorHAnsi"/>
                <w:sz w:val="24"/>
                <w:szCs w:val="24"/>
                <w:lang w:val="en-US"/>
              </w:rPr>
              <w:t>Delivery unit</w:t>
            </w:r>
          </w:p>
        </w:tc>
        <w:tc>
          <w:tcPr>
            <w:tcW w:w="4508" w:type="dxa"/>
          </w:tcPr>
          <w:p w:rsidR="00874DC4" w:rsidRPr="00874DC4" w:rsidRDefault="00874DC4">
            <w:pPr>
              <w:rPr>
                <w:rFonts w:cstheme="minorHAnsi"/>
                <w:sz w:val="24"/>
                <w:szCs w:val="24"/>
                <w:shd w:val="clear" w:color="auto" w:fill="FFFFFF"/>
              </w:rPr>
            </w:pPr>
            <w:r w:rsidRPr="00874DC4">
              <w:rPr>
                <w:rFonts w:cstheme="minorHAnsi"/>
                <w:sz w:val="24"/>
                <w:szCs w:val="24"/>
                <w:shd w:val="clear" w:color="auto" w:fill="FFFFFF"/>
              </w:rPr>
              <w:t>100 grams</w:t>
            </w:r>
          </w:p>
        </w:tc>
      </w:tr>
      <w:tr w:rsidR="00874DC4" w:rsidRPr="00D93F90" w:rsidTr="008561EF">
        <w:tc>
          <w:tcPr>
            <w:tcW w:w="4508" w:type="dxa"/>
          </w:tcPr>
          <w:p w:rsidR="00874DC4" w:rsidRPr="00874DC4" w:rsidRDefault="00874DC4">
            <w:pPr>
              <w:rPr>
                <w:rFonts w:cstheme="minorHAnsi"/>
                <w:sz w:val="24"/>
                <w:szCs w:val="24"/>
                <w:lang w:val="en-US"/>
              </w:rPr>
            </w:pPr>
            <w:r w:rsidRPr="00874DC4">
              <w:rPr>
                <w:rFonts w:cstheme="minorHAnsi"/>
                <w:sz w:val="24"/>
                <w:szCs w:val="24"/>
                <w:lang w:val="en-US"/>
              </w:rPr>
              <w:lastRenderedPageBreak/>
              <w:t>Delivery period margin</w:t>
            </w:r>
          </w:p>
        </w:tc>
        <w:tc>
          <w:tcPr>
            <w:tcW w:w="4508" w:type="dxa"/>
          </w:tcPr>
          <w:p w:rsidR="00874DC4" w:rsidRPr="00874DC4" w:rsidRDefault="00874DC4">
            <w:pPr>
              <w:rPr>
                <w:rFonts w:cstheme="minorHAnsi"/>
                <w:sz w:val="24"/>
                <w:szCs w:val="24"/>
                <w:shd w:val="clear" w:color="auto" w:fill="FFFFFF"/>
              </w:rPr>
            </w:pPr>
            <w:r w:rsidRPr="00874DC4">
              <w:rPr>
                <w:rFonts w:cstheme="minorHAnsi"/>
                <w:sz w:val="24"/>
                <w:szCs w:val="24"/>
                <w:shd w:val="clear" w:color="auto" w:fill="FFFFFF"/>
              </w:rPr>
              <w:t>Delivery period margins shall be higher of:</w:t>
            </w:r>
            <w:r w:rsidRPr="00874DC4">
              <w:rPr>
                <w:rFonts w:cstheme="minorHAnsi"/>
                <w:sz w:val="24"/>
                <w:szCs w:val="24"/>
              </w:rPr>
              <w:br/>
            </w:r>
            <w:r w:rsidRPr="00874DC4">
              <w:rPr>
                <w:rFonts w:cstheme="minorHAnsi"/>
                <w:sz w:val="24"/>
                <w:szCs w:val="24"/>
                <w:shd w:val="clear" w:color="auto" w:fill="FFFFFF"/>
              </w:rPr>
              <w:t xml:space="preserve">a) 3% + 6 day 99% </w:t>
            </w:r>
            <w:proofErr w:type="spellStart"/>
            <w:r w:rsidRPr="00874DC4">
              <w:rPr>
                <w:rFonts w:cstheme="minorHAnsi"/>
                <w:sz w:val="24"/>
                <w:szCs w:val="24"/>
                <w:shd w:val="clear" w:color="auto" w:fill="FFFFFF"/>
              </w:rPr>
              <w:t>VaR</w:t>
            </w:r>
            <w:proofErr w:type="spellEnd"/>
            <w:r w:rsidRPr="00874DC4">
              <w:rPr>
                <w:rFonts w:cstheme="minorHAnsi"/>
                <w:sz w:val="24"/>
                <w:szCs w:val="24"/>
                <w:shd w:val="clear" w:color="auto" w:fill="FFFFFF"/>
              </w:rPr>
              <w:t xml:space="preserve"> of spot price volatility     Or</w:t>
            </w:r>
            <w:r w:rsidRPr="00874DC4">
              <w:rPr>
                <w:rFonts w:cstheme="minorHAnsi"/>
                <w:sz w:val="24"/>
                <w:szCs w:val="24"/>
              </w:rPr>
              <w:br/>
            </w:r>
            <w:r w:rsidRPr="00874DC4">
              <w:rPr>
                <w:rFonts w:cstheme="minorHAnsi"/>
                <w:sz w:val="24"/>
                <w:szCs w:val="24"/>
                <w:shd w:val="clear" w:color="auto" w:fill="FFFFFF"/>
              </w:rPr>
              <w:t>b) 20%</w:t>
            </w:r>
          </w:p>
        </w:tc>
      </w:tr>
      <w:tr w:rsidR="00874DC4" w:rsidRPr="00D93F90" w:rsidTr="008561EF">
        <w:tc>
          <w:tcPr>
            <w:tcW w:w="4508" w:type="dxa"/>
          </w:tcPr>
          <w:p w:rsidR="00874DC4" w:rsidRPr="00874DC4" w:rsidRDefault="00874DC4">
            <w:pPr>
              <w:rPr>
                <w:rFonts w:cstheme="minorHAnsi"/>
                <w:sz w:val="24"/>
                <w:szCs w:val="24"/>
                <w:lang w:val="en-US"/>
              </w:rPr>
            </w:pPr>
            <w:r w:rsidRPr="00874DC4">
              <w:rPr>
                <w:rFonts w:cstheme="minorHAnsi"/>
                <w:sz w:val="24"/>
                <w:szCs w:val="24"/>
                <w:lang w:val="en-US"/>
              </w:rPr>
              <w:t>Quality specifications</w:t>
            </w:r>
          </w:p>
        </w:tc>
        <w:tc>
          <w:tcPr>
            <w:tcW w:w="4508" w:type="dxa"/>
          </w:tcPr>
          <w:p w:rsidR="00874DC4" w:rsidRPr="00874DC4" w:rsidRDefault="00874DC4">
            <w:pPr>
              <w:rPr>
                <w:rFonts w:cstheme="minorHAnsi"/>
                <w:sz w:val="24"/>
                <w:szCs w:val="24"/>
                <w:shd w:val="clear" w:color="auto" w:fill="FFFFFF"/>
              </w:rPr>
            </w:pPr>
            <w:r w:rsidRPr="00874DC4">
              <w:rPr>
                <w:rFonts w:cstheme="minorHAnsi"/>
                <w:sz w:val="24"/>
                <w:szCs w:val="24"/>
                <w:shd w:val="clear" w:color="auto" w:fill="FFFFFF"/>
              </w:rPr>
              <w:t xml:space="preserve">995 </w:t>
            </w:r>
            <w:proofErr w:type="gramStart"/>
            <w:r w:rsidRPr="00874DC4">
              <w:rPr>
                <w:rFonts w:cstheme="minorHAnsi"/>
                <w:sz w:val="24"/>
                <w:szCs w:val="24"/>
                <w:shd w:val="clear" w:color="auto" w:fill="FFFFFF"/>
              </w:rPr>
              <w:t>purity</w:t>
            </w:r>
            <w:proofErr w:type="gramEnd"/>
            <w:r w:rsidRPr="00874DC4">
              <w:rPr>
                <w:rFonts w:cstheme="minorHAnsi"/>
                <w:sz w:val="24"/>
                <w:szCs w:val="24"/>
                <w:shd w:val="clear" w:color="auto" w:fill="FFFFFF"/>
              </w:rPr>
              <w:t>. It should be serially numbered Gold bars supplied by LBMA approved suppliers or other suppliers as may be approved by the Exchange to be submitted along with supplier's quality certificate.</w:t>
            </w:r>
          </w:p>
        </w:tc>
      </w:tr>
    </w:tbl>
    <w:p w:rsidR="008561EF" w:rsidRPr="008561EF" w:rsidRDefault="008561EF">
      <w:pPr>
        <w:rPr>
          <w:lang w:val="en-US"/>
        </w:rPr>
      </w:pPr>
    </w:p>
    <w:sectPr w:rsidR="008561EF" w:rsidRPr="00856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EF"/>
    <w:rsid w:val="008561EF"/>
    <w:rsid w:val="00874DC4"/>
    <w:rsid w:val="00D93F90"/>
    <w:rsid w:val="00EA4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5B27"/>
  <w15:chartTrackingRefBased/>
  <w15:docId w15:val="{D167D1F4-1E25-4593-9CF2-ABA3678B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6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388159">
      <w:bodyDiv w:val="1"/>
      <w:marLeft w:val="0"/>
      <w:marRight w:val="0"/>
      <w:marTop w:val="0"/>
      <w:marBottom w:val="0"/>
      <w:divBdr>
        <w:top w:val="none" w:sz="0" w:space="0" w:color="auto"/>
        <w:left w:val="none" w:sz="0" w:space="0" w:color="auto"/>
        <w:bottom w:val="none" w:sz="0" w:space="0" w:color="auto"/>
        <w:right w:val="none" w:sz="0" w:space="0" w:color="auto"/>
      </w:divBdr>
    </w:div>
    <w:div w:id="897984018">
      <w:bodyDiv w:val="1"/>
      <w:marLeft w:val="0"/>
      <w:marRight w:val="0"/>
      <w:marTop w:val="0"/>
      <w:marBottom w:val="0"/>
      <w:divBdr>
        <w:top w:val="none" w:sz="0" w:space="0" w:color="auto"/>
        <w:left w:val="none" w:sz="0" w:space="0" w:color="auto"/>
        <w:bottom w:val="none" w:sz="0" w:space="0" w:color="auto"/>
        <w:right w:val="none" w:sz="0" w:space="0" w:color="auto"/>
      </w:divBdr>
    </w:div>
    <w:div w:id="972176584">
      <w:bodyDiv w:val="1"/>
      <w:marLeft w:val="0"/>
      <w:marRight w:val="0"/>
      <w:marTop w:val="0"/>
      <w:marBottom w:val="0"/>
      <w:divBdr>
        <w:top w:val="none" w:sz="0" w:space="0" w:color="auto"/>
        <w:left w:val="none" w:sz="0" w:space="0" w:color="auto"/>
        <w:bottom w:val="none" w:sz="0" w:space="0" w:color="auto"/>
        <w:right w:val="none" w:sz="0" w:space="0" w:color="auto"/>
      </w:divBdr>
    </w:div>
    <w:div w:id="1130125244">
      <w:bodyDiv w:val="1"/>
      <w:marLeft w:val="0"/>
      <w:marRight w:val="0"/>
      <w:marTop w:val="0"/>
      <w:marBottom w:val="0"/>
      <w:divBdr>
        <w:top w:val="none" w:sz="0" w:space="0" w:color="auto"/>
        <w:left w:val="none" w:sz="0" w:space="0" w:color="auto"/>
        <w:bottom w:val="none" w:sz="0" w:space="0" w:color="auto"/>
        <w:right w:val="none" w:sz="0" w:space="0" w:color="auto"/>
      </w:divBdr>
    </w:div>
    <w:div w:id="1411342246">
      <w:bodyDiv w:val="1"/>
      <w:marLeft w:val="0"/>
      <w:marRight w:val="0"/>
      <w:marTop w:val="0"/>
      <w:marBottom w:val="0"/>
      <w:divBdr>
        <w:top w:val="none" w:sz="0" w:space="0" w:color="auto"/>
        <w:left w:val="none" w:sz="0" w:space="0" w:color="auto"/>
        <w:bottom w:val="none" w:sz="0" w:space="0" w:color="auto"/>
        <w:right w:val="none" w:sz="0" w:space="0" w:color="auto"/>
      </w:divBdr>
    </w:div>
    <w:div w:id="1449011780">
      <w:bodyDiv w:val="1"/>
      <w:marLeft w:val="0"/>
      <w:marRight w:val="0"/>
      <w:marTop w:val="0"/>
      <w:marBottom w:val="0"/>
      <w:divBdr>
        <w:top w:val="none" w:sz="0" w:space="0" w:color="auto"/>
        <w:left w:val="none" w:sz="0" w:space="0" w:color="auto"/>
        <w:bottom w:val="none" w:sz="0" w:space="0" w:color="auto"/>
        <w:right w:val="none" w:sz="0" w:space="0" w:color="auto"/>
      </w:divBdr>
    </w:div>
    <w:div w:id="1512916520">
      <w:bodyDiv w:val="1"/>
      <w:marLeft w:val="0"/>
      <w:marRight w:val="0"/>
      <w:marTop w:val="0"/>
      <w:marBottom w:val="0"/>
      <w:divBdr>
        <w:top w:val="none" w:sz="0" w:space="0" w:color="auto"/>
        <w:left w:val="none" w:sz="0" w:space="0" w:color="auto"/>
        <w:bottom w:val="none" w:sz="0" w:space="0" w:color="auto"/>
        <w:right w:val="none" w:sz="0" w:space="0" w:color="auto"/>
      </w:divBdr>
    </w:div>
    <w:div w:id="189388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1</cp:revision>
  <dcterms:created xsi:type="dcterms:W3CDTF">2021-11-29T08:50:00Z</dcterms:created>
  <dcterms:modified xsi:type="dcterms:W3CDTF">2021-11-29T09:20:00Z</dcterms:modified>
</cp:coreProperties>
</file>