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06"/>
        <w:gridCol w:w="4607"/>
        <w:gridCol w:w="4607"/>
      </w:tblGrid>
      <w:tr w:rsidR="002B2D47" w:rsidTr="00E01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B2D47" w:rsidRDefault="002B2D47" w:rsidP="00E01FEE">
            <w:pPr>
              <w:jc w:val="center"/>
            </w:pPr>
            <w:bookmarkStart w:id="0" w:name="_GoBack"/>
            <w:bookmarkEnd w:id="0"/>
            <w:r>
              <w:t>Micromechanical Parameter</w:t>
            </w:r>
          </w:p>
        </w:tc>
        <w:tc>
          <w:tcPr>
            <w:tcW w:w="4607" w:type="dxa"/>
          </w:tcPr>
          <w:p w:rsidR="002B2D47" w:rsidRDefault="002B2D47" w:rsidP="00E01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Berea Sandstone</w:t>
            </w:r>
          </w:p>
        </w:tc>
        <w:tc>
          <w:tcPr>
            <w:tcW w:w="4607" w:type="dxa"/>
          </w:tcPr>
          <w:p w:rsidR="002B2D47" w:rsidRDefault="002B2D47" w:rsidP="00E01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Lac du Bonnet Granite</w:t>
            </w:r>
          </w:p>
        </w:tc>
      </w:tr>
      <w:tr w:rsidR="00526642" w:rsidTr="0052664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6642" w:rsidRDefault="00526642" w:rsidP="00526642">
            <w:pPr>
              <w:jc w:val="center"/>
              <w:rPr>
                <w:b w:val="0"/>
              </w:rPr>
            </w:pPr>
            <w:r>
              <w:rPr>
                <w:b w:val="0"/>
              </w:rPr>
              <w:t>Young’s Modulus of Bonds (</w:t>
            </w:r>
            <w:r w:rsidRPr="002B2D47">
              <w:rPr>
                <w:b w:val="0"/>
                <w:i/>
              </w:rPr>
              <w:t>E</w:t>
            </w:r>
            <w:r w:rsidRPr="002B2D47">
              <w:rPr>
                <w:b w:val="0"/>
                <w:i/>
                <w:vertAlign w:val="subscript"/>
              </w:rPr>
              <w:t>b</w:t>
            </w:r>
            <w:r>
              <w:rPr>
                <w:b w:val="0"/>
              </w:rPr>
              <w:t>)</w:t>
            </w:r>
          </w:p>
          <w:p w:rsidR="00526642" w:rsidRPr="00526642" w:rsidRDefault="00526642" w:rsidP="00526642">
            <w:pPr>
              <w:jc w:val="center"/>
              <w:rPr>
                <w:b w:val="0"/>
                <w:i/>
              </w:rPr>
            </w:pPr>
            <w:r w:rsidRPr="00526642">
              <w:rPr>
                <w:b w:val="0"/>
                <w:i/>
              </w:rPr>
              <w:t>Pa</w:t>
            </w:r>
          </w:p>
        </w:tc>
        <w:tc>
          <w:tcPr>
            <w:tcW w:w="4607" w:type="dxa"/>
          </w:tcPr>
          <w:p w:rsidR="00526642" w:rsidRP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5.00x10</w:t>
            </w:r>
            <w:r>
              <w:rPr>
                <w:vertAlign w:val="superscript"/>
              </w:rPr>
              <w:t>9</w:t>
            </w:r>
          </w:p>
        </w:tc>
        <w:tc>
          <w:tcPr>
            <w:tcW w:w="4607" w:type="dxa"/>
          </w:tcPr>
          <w:p w:rsidR="00526642" w:rsidRP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5.00x10</w:t>
            </w:r>
            <w:r>
              <w:rPr>
                <w:vertAlign w:val="superscript"/>
              </w:rPr>
              <w:t>10</w:t>
            </w:r>
          </w:p>
        </w:tc>
      </w:tr>
      <w:tr w:rsidR="00526642" w:rsidTr="00E01FE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6642" w:rsidRDefault="00526642" w:rsidP="00526642">
            <w:pPr>
              <w:jc w:val="center"/>
              <w:rPr>
                <w:b w:val="0"/>
              </w:rPr>
            </w:pPr>
            <w:r>
              <w:rPr>
                <w:b w:val="0"/>
              </w:rPr>
              <w:t>Shear Modulus of Bonds (G</w:t>
            </w:r>
            <w:r w:rsidRPr="002B2D47">
              <w:rPr>
                <w:b w:val="0"/>
                <w:i/>
                <w:vertAlign w:val="subscript"/>
              </w:rPr>
              <w:t>b</w:t>
            </w:r>
            <w:r>
              <w:rPr>
                <w:b w:val="0"/>
              </w:rPr>
              <w:t xml:space="preserve">) </w:t>
            </w:r>
          </w:p>
          <w:p w:rsidR="00526642" w:rsidRDefault="00526642" w:rsidP="00526642">
            <w:pPr>
              <w:jc w:val="center"/>
            </w:pPr>
            <w:r w:rsidRPr="00526642">
              <w:rPr>
                <w:b w:val="0"/>
                <w:i/>
              </w:rPr>
              <w:t>Pa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5.00x10</w:t>
            </w:r>
            <w:r>
              <w:rPr>
                <w:vertAlign w:val="superscript"/>
              </w:rPr>
              <w:t>9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5.00x10</w:t>
            </w:r>
            <w:r>
              <w:rPr>
                <w:vertAlign w:val="superscript"/>
              </w:rPr>
              <w:t>10</w:t>
            </w:r>
          </w:p>
        </w:tc>
      </w:tr>
      <w:tr w:rsidR="0077745A" w:rsidTr="00E01FE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7745A" w:rsidRPr="00D00665" w:rsidRDefault="00D00665" w:rsidP="00526642">
            <w:pPr>
              <w:jc w:val="center"/>
              <w:rPr>
                <w:b w:val="0"/>
                <w:i/>
              </w:rPr>
            </w:pPr>
            <w:r w:rsidRPr="00D00665">
              <w:rPr>
                <w:rFonts w:cstheme="minorHAnsi"/>
                <w:b w:val="0"/>
                <w:i/>
              </w:rPr>
              <w:t>σ</w:t>
            </w:r>
            <w:r w:rsidRPr="00D00665">
              <w:rPr>
                <w:b w:val="0"/>
                <w:i/>
                <w:vertAlign w:val="subscript"/>
              </w:rPr>
              <w:t>c</w:t>
            </w:r>
            <w:r w:rsidRPr="00D00665">
              <w:rPr>
                <w:b w:val="0"/>
                <w:i/>
              </w:rPr>
              <w:t>/</w:t>
            </w:r>
            <w:r w:rsidRPr="00D00665">
              <w:rPr>
                <w:rFonts w:cstheme="minorHAnsi"/>
                <w:b w:val="0"/>
                <w:i/>
              </w:rPr>
              <w:t>σ</w:t>
            </w:r>
            <w:r w:rsidRPr="00D00665">
              <w:rPr>
                <w:b w:val="0"/>
                <w:i/>
                <w:vertAlign w:val="subscript"/>
              </w:rPr>
              <w:t>t</w:t>
            </w:r>
          </w:p>
        </w:tc>
        <w:tc>
          <w:tcPr>
            <w:tcW w:w="4607" w:type="dxa"/>
          </w:tcPr>
          <w:p w:rsidR="0077745A" w:rsidRPr="00D00665" w:rsidRDefault="00D00665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1.00x10</w:t>
            </w:r>
            <w:r>
              <w:rPr>
                <w:vertAlign w:val="superscript"/>
              </w:rPr>
              <w:t>1</w:t>
            </w:r>
          </w:p>
        </w:tc>
        <w:tc>
          <w:tcPr>
            <w:tcW w:w="4607" w:type="dxa"/>
          </w:tcPr>
          <w:p w:rsidR="0077745A" w:rsidRPr="00D00665" w:rsidRDefault="00D00665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2.00x10</w:t>
            </w:r>
            <w:r>
              <w:rPr>
                <w:vertAlign w:val="superscript"/>
              </w:rPr>
              <w:t>1</w:t>
            </w:r>
          </w:p>
        </w:tc>
      </w:tr>
      <w:tr w:rsidR="00526642" w:rsidTr="00E01FE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6642" w:rsidRDefault="00526642" w:rsidP="00526642">
            <w:pPr>
              <w:jc w:val="center"/>
              <w:rPr>
                <w:b w:val="0"/>
              </w:rPr>
            </w:pPr>
            <w:r>
              <w:rPr>
                <w:b w:val="0"/>
              </w:rPr>
              <w:t>Tensile Strength of Bonds (T</w:t>
            </w:r>
            <w:r w:rsidRPr="002B2D47">
              <w:rPr>
                <w:b w:val="0"/>
                <w:i/>
                <w:vertAlign w:val="subscript"/>
              </w:rPr>
              <w:t>b</w:t>
            </w:r>
            <w:r>
              <w:rPr>
                <w:b w:val="0"/>
              </w:rPr>
              <w:t xml:space="preserve">) </w:t>
            </w:r>
          </w:p>
          <w:p w:rsidR="00526642" w:rsidRDefault="00526642" w:rsidP="00526642">
            <w:pPr>
              <w:jc w:val="center"/>
            </w:pPr>
            <w:r w:rsidRPr="00526642">
              <w:rPr>
                <w:b w:val="0"/>
                <w:i/>
              </w:rPr>
              <w:t>Pa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9.00x10</w:t>
            </w:r>
            <w:r>
              <w:rPr>
                <w:vertAlign w:val="superscript"/>
              </w:rPr>
              <w:t>6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6.00x10</w:t>
            </w:r>
            <w:r>
              <w:rPr>
                <w:vertAlign w:val="superscript"/>
              </w:rPr>
              <w:t>8</w:t>
            </w:r>
          </w:p>
        </w:tc>
      </w:tr>
      <w:tr w:rsidR="00526642" w:rsidTr="00E01FEE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6642" w:rsidRDefault="00526642" w:rsidP="00526642">
            <w:pPr>
              <w:jc w:val="center"/>
              <w:rPr>
                <w:b w:val="0"/>
              </w:rPr>
            </w:pPr>
            <w:r>
              <w:rPr>
                <w:b w:val="0"/>
              </w:rPr>
              <w:t>Cohesion of Bonds (</w:t>
            </w:r>
            <w:r>
              <w:rPr>
                <w:b w:val="0"/>
                <w:i/>
              </w:rPr>
              <w:t>C</w:t>
            </w:r>
            <w:r w:rsidRPr="002B2D47">
              <w:rPr>
                <w:b w:val="0"/>
                <w:i/>
                <w:vertAlign w:val="subscript"/>
              </w:rPr>
              <w:t>b</w:t>
            </w:r>
            <w:r>
              <w:rPr>
                <w:b w:val="0"/>
              </w:rPr>
              <w:t xml:space="preserve">) </w:t>
            </w:r>
          </w:p>
          <w:p w:rsidR="00526642" w:rsidRDefault="00526642" w:rsidP="00526642">
            <w:pPr>
              <w:jc w:val="center"/>
            </w:pPr>
            <w:r w:rsidRPr="00526642">
              <w:rPr>
                <w:b w:val="0"/>
                <w:i/>
              </w:rPr>
              <w:t>Pa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9.00x10</w:t>
            </w:r>
            <w:r>
              <w:rPr>
                <w:vertAlign w:val="superscript"/>
              </w:rPr>
              <w:t>7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1.20x10</w:t>
            </w:r>
            <w:r>
              <w:rPr>
                <w:vertAlign w:val="superscript"/>
              </w:rPr>
              <w:t>10</w:t>
            </w:r>
          </w:p>
        </w:tc>
      </w:tr>
      <w:tr w:rsidR="00526642" w:rsidTr="00E01FE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6642" w:rsidRDefault="00526642" w:rsidP="00526642">
            <w:pPr>
              <w:jc w:val="center"/>
              <w:rPr>
                <w:b w:val="0"/>
              </w:rPr>
            </w:pPr>
            <w:r w:rsidRPr="002B2D47">
              <w:rPr>
                <w:b w:val="0"/>
              </w:rPr>
              <w:t>Shear Modulus of Particles (</w:t>
            </w:r>
            <w:r>
              <w:rPr>
                <w:rFonts w:cstheme="minorHAnsi"/>
                <w:b w:val="0"/>
                <w:i/>
              </w:rPr>
              <w:t>G</w:t>
            </w:r>
            <w:r w:rsidRPr="002B2D47">
              <w:rPr>
                <w:b w:val="0"/>
                <w:i/>
                <w:vertAlign w:val="subscript"/>
              </w:rPr>
              <w:t>p</w:t>
            </w:r>
            <w:r w:rsidRPr="002B2D47">
              <w:rPr>
                <w:b w:val="0"/>
              </w:rPr>
              <w:t>)</w:t>
            </w:r>
            <w:r>
              <w:rPr>
                <w:b w:val="0"/>
              </w:rPr>
              <w:t xml:space="preserve"> </w:t>
            </w:r>
          </w:p>
          <w:p w:rsidR="00526642" w:rsidRPr="002B2D47" w:rsidRDefault="00526642" w:rsidP="00526642">
            <w:pPr>
              <w:jc w:val="center"/>
              <w:rPr>
                <w:b w:val="0"/>
              </w:rPr>
            </w:pPr>
            <w:r w:rsidRPr="00526642">
              <w:rPr>
                <w:b w:val="0"/>
                <w:i/>
              </w:rPr>
              <w:t>Pa</w:t>
            </w:r>
          </w:p>
        </w:tc>
        <w:tc>
          <w:tcPr>
            <w:tcW w:w="4607" w:type="dxa"/>
          </w:tcPr>
          <w:p w:rsidR="00526642" w:rsidRP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2.90x10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4607" w:type="dxa"/>
          </w:tcPr>
          <w:p w:rsidR="00526642" w:rsidRP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2.00x10</w:t>
            </w:r>
            <w:r>
              <w:rPr>
                <w:vertAlign w:val="superscript"/>
              </w:rPr>
              <w:t>12</w:t>
            </w:r>
          </w:p>
        </w:tc>
      </w:tr>
      <w:tr w:rsidR="00526642" w:rsidTr="00526642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6642" w:rsidRPr="002B2D47" w:rsidRDefault="00526642" w:rsidP="00526642">
            <w:pPr>
              <w:jc w:val="center"/>
              <w:rPr>
                <w:b w:val="0"/>
              </w:rPr>
            </w:pPr>
            <w:r w:rsidRPr="002B2D47">
              <w:rPr>
                <w:b w:val="0"/>
              </w:rPr>
              <w:t>Poisson</w:t>
            </w:r>
            <w:r>
              <w:rPr>
                <w:b w:val="0"/>
              </w:rPr>
              <w:t>’</w:t>
            </w:r>
            <w:r w:rsidRPr="002B2D47">
              <w:rPr>
                <w:b w:val="0"/>
              </w:rPr>
              <w:t>s Ratio of Particles (</w:t>
            </w:r>
            <w:r w:rsidRPr="002B2D47">
              <w:rPr>
                <w:rFonts w:cstheme="minorHAnsi"/>
                <w:b w:val="0"/>
                <w:i/>
              </w:rPr>
              <w:t>ν</w:t>
            </w:r>
            <w:r w:rsidRPr="002B2D47">
              <w:rPr>
                <w:b w:val="0"/>
                <w:i/>
                <w:vertAlign w:val="subscript"/>
              </w:rPr>
              <w:t>p</w:t>
            </w:r>
            <w:r w:rsidRPr="002B2D47">
              <w:rPr>
                <w:b w:val="0"/>
              </w:rPr>
              <w:t>)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 x10</w:t>
            </w:r>
            <w:r>
              <w:rPr>
                <w:vertAlign w:val="superscript"/>
              </w:rPr>
              <w:t>0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 x10</w:t>
            </w:r>
            <w:r>
              <w:rPr>
                <w:vertAlign w:val="superscript"/>
              </w:rPr>
              <w:t>0</w:t>
            </w:r>
          </w:p>
        </w:tc>
      </w:tr>
      <w:tr w:rsidR="00526642" w:rsidTr="0052664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6642" w:rsidRPr="002B2D47" w:rsidRDefault="00526642" w:rsidP="00526642">
            <w:pPr>
              <w:jc w:val="center"/>
              <w:rPr>
                <w:b w:val="0"/>
              </w:rPr>
            </w:pPr>
            <w:r w:rsidRPr="002B2D47">
              <w:rPr>
                <w:b w:val="0"/>
              </w:rPr>
              <w:t>Interparticle friction (</w:t>
            </w:r>
            <w:r w:rsidRPr="002B2D47">
              <w:rPr>
                <w:b w:val="0"/>
                <w:i/>
              </w:rPr>
              <w:t>f</w:t>
            </w:r>
            <w:r w:rsidRPr="002B2D47">
              <w:rPr>
                <w:b w:val="0"/>
              </w:rPr>
              <w:t>)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 x10</w:t>
            </w:r>
            <w:r>
              <w:rPr>
                <w:vertAlign w:val="superscript"/>
              </w:rPr>
              <w:t>0</w:t>
            </w:r>
          </w:p>
        </w:tc>
        <w:tc>
          <w:tcPr>
            <w:tcW w:w="4607" w:type="dxa"/>
          </w:tcPr>
          <w:p w:rsidR="00526642" w:rsidRDefault="00526642" w:rsidP="00526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 x10</w:t>
            </w:r>
            <w:r>
              <w:rPr>
                <w:vertAlign w:val="superscript"/>
              </w:rPr>
              <w:t>0</w:t>
            </w:r>
          </w:p>
        </w:tc>
      </w:tr>
    </w:tbl>
    <w:p w:rsidR="009576CB" w:rsidRDefault="009576CB"/>
    <w:p w:rsidR="002B2D47" w:rsidRPr="00D00665" w:rsidRDefault="009D0034">
      <w:pPr>
        <w:sectPr w:rsidR="002B2D47" w:rsidRPr="00D00665" w:rsidSect="002B2D4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Table 1</w:t>
      </w:r>
      <w:r w:rsidR="002B2D47">
        <w:t xml:space="preserve">: </w:t>
      </w:r>
      <w:r w:rsidR="0077745A">
        <w:t>Microparameters used in DEM modeling of Berea Sandstone and L</w:t>
      </w:r>
      <w:r w:rsidR="00D00665">
        <w:t xml:space="preserve">ac Du Bonnet Granite, maintaining </w:t>
      </w:r>
      <w:r w:rsidR="00D00665" w:rsidRPr="00D00665">
        <w:rPr>
          <w:i/>
        </w:rPr>
        <w:t>C</w:t>
      </w:r>
      <w:r w:rsidR="00D00665" w:rsidRPr="00D00665">
        <w:rPr>
          <w:i/>
          <w:vertAlign w:val="subscript"/>
        </w:rPr>
        <w:t>b</w:t>
      </w:r>
      <w:r w:rsidR="00D00665" w:rsidRPr="00D00665">
        <w:rPr>
          <w:i/>
        </w:rPr>
        <w:t>/T</w:t>
      </w:r>
      <w:r w:rsidR="00D00665" w:rsidRPr="00D00665">
        <w:rPr>
          <w:i/>
          <w:vertAlign w:val="subscript"/>
        </w:rPr>
        <w:t>b</w:t>
      </w:r>
      <w:r w:rsidR="00D00665">
        <w:t xml:space="preserve"> ratios equal to </w:t>
      </w:r>
      <w:r w:rsidR="00D00665" w:rsidRPr="00D00665">
        <w:rPr>
          <w:rFonts w:cstheme="minorHAnsi"/>
          <w:i/>
        </w:rPr>
        <w:t>σ</w:t>
      </w:r>
      <w:r w:rsidR="00D00665" w:rsidRPr="00D00665">
        <w:rPr>
          <w:i/>
          <w:vertAlign w:val="subscript"/>
        </w:rPr>
        <w:t>c</w:t>
      </w:r>
      <w:r w:rsidR="00D00665" w:rsidRPr="00D00665">
        <w:rPr>
          <w:i/>
        </w:rPr>
        <w:t>/</w:t>
      </w:r>
      <w:r w:rsidR="00D00665" w:rsidRPr="00D00665">
        <w:rPr>
          <w:rFonts w:cstheme="minorHAnsi"/>
          <w:i/>
        </w:rPr>
        <w:t>σ</w:t>
      </w:r>
      <w:r w:rsidR="00D00665" w:rsidRPr="00D00665">
        <w:rPr>
          <w:i/>
          <w:vertAlign w:val="subscript"/>
        </w:rPr>
        <w:t>t</w:t>
      </w:r>
      <w:r w:rsidR="00D00665">
        <w:t xml:space="preserve">, as prescribed </w:t>
      </w:r>
      <w:proofErr w:type="gramStart"/>
      <w:r w:rsidR="00D00665">
        <w:t xml:space="preserve">by  </w:t>
      </w:r>
      <w:r w:rsidR="00D00665" w:rsidRPr="000D22E2">
        <w:rPr>
          <w:rFonts w:ascii="Times New Roman" w:hAnsi="Times New Roman" w:cs="Times New Roman"/>
          <w:color w:val="7030A0"/>
        </w:rPr>
        <w:t>Scholtès</w:t>
      </w:r>
      <w:proofErr w:type="gramEnd"/>
      <w:r w:rsidR="00D00665" w:rsidRPr="000D22E2">
        <w:rPr>
          <w:rFonts w:ascii="Times New Roman" w:hAnsi="Times New Roman" w:cs="Times New Roman"/>
          <w:color w:val="7030A0"/>
        </w:rPr>
        <w:t xml:space="preserve"> and Donzé, 201</w:t>
      </w:r>
      <w:r w:rsidR="00D00665">
        <w:rPr>
          <w:rFonts w:ascii="Times New Roman" w:hAnsi="Times New Roman" w:cs="Times New Roman"/>
          <w:color w:val="7030A0"/>
        </w:rPr>
        <w:t>3</w:t>
      </w:r>
      <w:r w:rsidR="00D00665" w:rsidRPr="00D00665">
        <w:rPr>
          <w:rFonts w:ascii="Times New Roman" w:hAnsi="Times New Roman" w:cs="Times New Roman"/>
        </w:rPr>
        <w:t xml:space="preserve">. </w:t>
      </w:r>
    </w:p>
    <w:tbl>
      <w:tblPr>
        <w:tblStyle w:val="GridTable1Light"/>
        <w:tblW w:w="14140" w:type="dxa"/>
        <w:tblLook w:val="04A0" w:firstRow="1" w:lastRow="0" w:firstColumn="1" w:lastColumn="0" w:noHBand="0" w:noVBand="1"/>
      </w:tblPr>
      <w:tblGrid>
        <w:gridCol w:w="4405"/>
        <w:gridCol w:w="2250"/>
        <w:gridCol w:w="2250"/>
        <w:gridCol w:w="2700"/>
        <w:gridCol w:w="2535"/>
      </w:tblGrid>
      <w:tr w:rsidR="00785042" w:rsidTr="00785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E01FEE" w:rsidRDefault="00E01FEE" w:rsidP="00E01FEE">
            <w:pPr>
              <w:jc w:val="center"/>
            </w:pPr>
            <w:r>
              <w:lastRenderedPageBreak/>
              <w:t>Macro</w:t>
            </w:r>
            <w:r w:rsidR="00354F93">
              <w:t>mechanical Property</w:t>
            </w:r>
          </w:p>
        </w:tc>
        <w:tc>
          <w:tcPr>
            <w:tcW w:w="2250" w:type="dxa"/>
          </w:tcPr>
          <w:p w:rsidR="00E01FEE" w:rsidRDefault="00E01FEE" w:rsidP="00E01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Values for Berea Sandstone</w:t>
            </w:r>
          </w:p>
        </w:tc>
        <w:tc>
          <w:tcPr>
            <w:tcW w:w="2250" w:type="dxa"/>
          </w:tcPr>
          <w:p w:rsidR="00E01FEE" w:rsidRDefault="00E01FEE" w:rsidP="00E01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Values for Berea Sandstone</w:t>
            </w:r>
          </w:p>
        </w:tc>
        <w:tc>
          <w:tcPr>
            <w:tcW w:w="2700" w:type="dxa"/>
          </w:tcPr>
          <w:p w:rsidR="00E01FEE" w:rsidRDefault="00E01FEE" w:rsidP="00E01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Values for Lac du Bonnet Granite</w:t>
            </w:r>
          </w:p>
        </w:tc>
        <w:tc>
          <w:tcPr>
            <w:tcW w:w="2535" w:type="dxa"/>
          </w:tcPr>
          <w:p w:rsidR="00E01FEE" w:rsidRDefault="00E01FEE" w:rsidP="00E01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Values for Lac du Bonnet Granite</w:t>
            </w:r>
          </w:p>
        </w:tc>
      </w:tr>
      <w:tr w:rsidR="00785042" w:rsidTr="00785042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E01FEE" w:rsidRDefault="00E01FEE" w:rsidP="00E01FEE">
            <w:pPr>
              <w:jc w:val="center"/>
              <w:rPr>
                <w:b w:val="0"/>
              </w:rPr>
            </w:pPr>
            <w:r w:rsidRPr="00E01FEE">
              <w:rPr>
                <w:b w:val="0"/>
              </w:rPr>
              <w:t>Unconfined Compressive Strength</w:t>
            </w:r>
            <w:r w:rsidR="00785042">
              <w:rPr>
                <w:b w:val="0"/>
              </w:rPr>
              <w:t xml:space="preserve"> (UCS)</w:t>
            </w:r>
          </w:p>
          <w:p w:rsidR="00526642" w:rsidRPr="00526642" w:rsidRDefault="00BB6A19" w:rsidP="00E01FEE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M</w:t>
            </w:r>
            <w:r w:rsidR="00526642" w:rsidRPr="00526642">
              <w:rPr>
                <w:b w:val="0"/>
                <w:i/>
              </w:rPr>
              <w:t>Pa</w:t>
            </w:r>
          </w:p>
        </w:tc>
        <w:tc>
          <w:tcPr>
            <w:tcW w:w="2250" w:type="dxa"/>
          </w:tcPr>
          <w:p w:rsidR="00E01FEE" w:rsidRDefault="00526642" w:rsidP="00E01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85.05</w:t>
            </w:r>
          </w:p>
        </w:tc>
        <w:tc>
          <w:tcPr>
            <w:tcW w:w="2250" w:type="dxa"/>
          </w:tcPr>
          <w:p w:rsidR="00E01FEE" w:rsidRPr="00BC467E" w:rsidRDefault="00564D65" w:rsidP="00E01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95</w:t>
            </w:r>
            <w:r w:rsidR="0005435D">
              <w:t>.00</w:t>
            </w:r>
            <w:r w:rsidR="00BC467E">
              <w:rPr>
                <w:vertAlign w:val="superscript"/>
              </w:rPr>
              <w:t>1</w:t>
            </w:r>
          </w:p>
        </w:tc>
        <w:tc>
          <w:tcPr>
            <w:tcW w:w="2700" w:type="dxa"/>
          </w:tcPr>
          <w:p w:rsidR="00E01FEE" w:rsidRDefault="004B7807" w:rsidP="00E01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</w:t>
            </w:r>
            <w:r w:rsidR="00AF4774">
              <w:t>.79</w:t>
            </w:r>
          </w:p>
        </w:tc>
        <w:tc>
          <w:tcPr>
            <w:tcW w:w="2535" w:type="dxa"/>
          </w:tcPr>
          <w:p w:rsidR="00E01FEE" w:rsidRPr="007C6306" w:rsidRDefault="007C6306" w:rsidP="007C6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224.00</w:t>
            </w:r>
            <w:r w:rsidR="00695D6A">
              <w:rPr>
                <w:vertAlign w:val="superscript"/>
              </w:rPr>
              <w:t>3</w:t>
            </w:r>
          </w:p>
        </w:tc>
      </w:tr>
      <w:tr w:rsidR="00BC467E" w:rsidTr="0078504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C467E" w:rsidRDefault="00BC467E" w:rsidP="00BC467E">
            <w:pPr>
              <w:jc w:val="center"/>
              <w:rPr>
                <w:b w:val="0"/>
              </w:rPr>
            </w:pPr>
            <w:r w:rsidRPr="00E01FEE">
              <w:rPr>
                <w:b w:val="0"/>
              </w:rPr>
              <w:t>Young’s Modulus</w:t>
            </w:r>
            <w:r>
              <w:rPr>
                <w:b w:val="0"/>
              </w:rPr>
              <w:t xml:space="preserve"> (</w:t>
            </w:r>
            <w:r w:rsidRPr="00785042">
              <w:rPr>
                <w:b w:val="0"/>
                <w:i/>
              </w:rPr>
              <w:t>E</w:t>
            </w:r>
            <w:r>
              <w:rPr>
                <w:b w:val="0"/>
              </w:rPr>
              <w:t>)</w:t>
            </w:r>
          </w:p>
          <w:p w:rsidR="00BC467E" w:rsidRPr="00E01FEE" w:rsidRDefault="00BC467E" w:rsidP="00BC467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  <w:i/>
              </w:rPr>
              <w:t>G</w:t>
            </w:r>
            <w:r w:rsidRPr="00526642">
              <w:rPr>
                <w:b w:val="0"/>
                <w:i/>
              </w:rPr>
              <w:t>Pa</w:t>
            </w:r>
            <w:proofErr w:type="spellEnd"/>
          </w:p>
        </w:tc>
        <w:tc>
          <w:tcPr>
            <w:tcW w:w="2250" w:type="dxa"/>
          </w:tcPr>
          <w:p w:rsidR="00BC467E" w:rsidRDefault="009D0034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C467E">
              <w:t>.28</w:t>
            </w:r>
          </w:p>
        </w:tc>
        <w:tc>
          <w:tcPr>
            <w:tcW w:w="2250" w:type="dxa"/>
          </w:tcPr>
          <w:p w:rsidR="00BC467E" w:rsidRPr="00BC467E" w:rsidRDefault="00BC467E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8.00</w:t>
            </w:r>
            <w:r w:rsidR="00695D6A">
              <w:rPr>
                <w:vertAlign w:val="superscript"/>
              </w:rPr>
              <w:t>1</w:t>
            </w:r>
          </w:p>
        </w:tc>
        <w:tc>
          <w:tcPr>
            <w:tcW w:w="2700" w:type="dxa"/>
          </w:tcPr>
          <w:p w:rsidR="00BC467E" w:rsidRDefault="004B7807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42.4</w:t>
            </w:r>
            <w:r w:rsidR="00BC467E">
              <w:t>7</w:t>
            </w:r>
          </w:p>
        </w:tc>
        <w:tc>
          <w:tcPr>
            <w:tcW w:w="2535" w:type="dxa"/>
          </w:tcPr>
          <w:p w:rsidR="00BC467E" w:rsidRDefault="00FC5B1E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BC467E">
              <w:t>0.00</w:t>
            </w:r>
            <w:r w:rsidR="00695D6A">
              <w:rPr>
                <w:vertAlign w:val="superscript"/>
              </w:rPr>
              <w:t>3</w:t>
            </w:r>
          </w:p>
        </w:tc>
      </w:tr>
      <w:tr w:rsidR="00BC467E" w:rsidTr="0078504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C467E" w:rsidRDefault="00BC467E" w:rsidP="00BC467E">
            <w:pPr>
              <w:jc w:val="center"/>
              <w:rPr>
                <w:b w:val="0"/>
              </w:rPr>
            </w:pPr>
            <w:r w:rsidRPr="00E01FEE">
              <w:rPr>
                <w:b w:val="0"/>
              </w:rPr>
              <w:t>Mohr-Coulomb Cohesion</w:t>
            </w:r>
            <w:r>
              <w:rPr>
                <w:b w:val="0"/>
              </w:rPr>
              <w:t xml:space="preserve"> (</w:t>
            </w:r>
            <w:r w:rsidRPr="00785042">
              <w:rPr>
                <w:b w:val="0"/>
                <w:i/>
              </w:rPr>
              <w:t>C</w:t>
            </w:r>
            <w:r>
              <w:rPr>
                <w:b w:val="0"/>
              </w:rPr>
              <w:t>)</w:t>
            </w:r>
          </w:p>
          <w:p w:rsidR="00BC467E" w:rsidRPr="00E01FEE" w:rsidRDefault="00BC467E" w:rsidP="00BC467E">
            <w:pPr>
              <w:jc w:val="center"/>
              <w:rPr>
                <w:b w:val="0"/>
              </w:rPr>
            </w:pPr>
            <w:r>
              <w:rPr>
                <w:b w:val="0"/>
                <w:i/>
              </w:rPr>
              <w:t>M</w:t>
            </w:r>
            <w:r w:rsidRPr="00526642">
              <w:rPr>
                <w:b w:val="0"/>
                <w:i/>
              </w:rPr>
              <w:t>Pa</w:t>
            </w:r>
          </w:p>
        </w:tc>
        <w:tc>
          <w:tcPr>
            <w:tcW w:w="2250" w:type="dxa"/>
          </w:tcPr>
          <w:p w:rsidR="00BC467E" w:rsidRDefault="00BC467E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29.35</w:t>
            </w:r>
          </w:p>
        </w:tc>
        <w:tc>
          <w:tcPr>
            <w:tcW w:w="2250" w:type="dxa"/>
          </w:tcPr>
          <w:p w:rsidR="00BC467E" w:rsidRPr="00D93FA8" w:rsidRDefault="00BC467E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26.10</w:t>
            </w:r>
            <w:r w:rsidR="00695D6A">
              <w:rPr>
                <w:vertAlign w:val="superscript"/>
              </w:rPr>
              <w:t>2</w:t>
            </w:r>
          </w:p>
        </w:tc>
        <w:tc>
          <w:tcPr>
            <w:tcW w:w="2700" w:type="dxa"/>
          </w:tcPr>
          <w:p w:rsidR="00BC467E" w:rsidRDefault="004B7807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54.60</w:t>
            </w:r>
          </w:p>
        </w:tc>
        <w:tc>
          <w:tcPr>
            <w:tcW w:w="2535" w:type="dxa"/>
          </w:tcPr>
          <w:p w:rsidR="00BC467E" w:rsidRPr="005E16CA" w:rsidRDefault="005E16CA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46.00</w:t>
            </w:r>
            <w:r w:rsidR="00695D6A">
              <w:rPr>
                <w:vertAlign w:val="superscript"/>
              </w:rPr>
              <w:t>3</w:t>
            </w:r>
          </w:p>
        </w:tc>
      </w:tr>
      <w:tr w:rsidR="00BC467E" w:rsidTr="00785042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C467E" w:rsidRDefault="00BC467E" w:rsidP="00BC467E">
            <w:pPr>
              <w:jc w:val="center"/>
              <w:rPr>
                <w:b w:val="0"/>
              </w:rPr>
            </w:pPr>
            <w:r w:rsidRPr="00E01FEE">
              <w:rPr>
                <w:b w:val="0"/>
              </w:rPr>
              <w:t>Mohr Coulomb Slope</w:t>
            </w:r>
            <w:r>
              <w:rPr>
                <w:b w:val="0"/>
              </w:rPr>
              <w:t xml:space="preserve"> (</w:t>
            </w:r>
            <w:r w:rsidRPr="00785042">
              <w:rPr>
                <w:rFonts w:cstheme="minorHAnsi"/>
                <w:b w:val="0"/>
                <w:i/>
              </w:rPr>
              <w:t>µ</w:t>
            </w:r>
            <w:r>
              <w:rPr>
                <w:b w:val="0"/>
              </w:rPr>
              <w:t>)</w:t>
            </w:r>
          </w:p>
          <w:p w:rsidR="00BC467E" w:rsidRPr="00E01FEE" w:rsidRDefault="00BC467E" w:rsidP="00BC467E">
            <w:pPr>
              <w:jc w:val="center"/>
              <w:rPr>
                <w:b w:val="0"/>
              </w:rPr>
            </w:pPr>
          </w:p>
        </w:tc>
        <w:tc>
          <w:tcPr>
            <w:tcW w:w="2250" w:type="dxa"/>
          </w:tcPr>
          <w:p w:rsidR="00BC467E" w:rsidRDefault="00BC467E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</w:t>
            </w:r>
          </w:p>
        </w:tc>
        <w:tc>
          <w:tcPr>
            <w:tcW w:w="2250" w:type="dxa"/>
          </w:tcPr>
          <w:p w:rsidR="00BC467E" w:rsidRPr="00D93FA8" w:rsidRDefault="00BC467E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0.49</w:t>
            </w:r>
            <w:r w:rsidR="00695D6A">
              <w:rPr>
                <w:vertAlign w:val="superscript"/>
              </w:rPr>
              <w:t>2</w:t>
            </w:r>
          </w:p>
        </w:tc>
        <w:tc>
          <w:tcPr>
            <w:tcW w:w="2700" w:type="dxa"/>
          </w:tcPr>
          <w:p w:rsidR="00BC467E" w:rsidRDefault="00557CA7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</w:t>
            </w:r>
          </w:p>
        </w:tc>
        <w:tc>
          <w:tcPr>
            <w:tcW w:w="2535" w:type="dxa"/>
          </w:tcPr>
          <w:p w:rsidR="00BC467E" w:rsidRPr="00FC5B1E" w:rsidRDefault="00FC5B1E" w:rsidP="00B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1.05</w:t>
            </w:r>
            <w:r w:rsidR="00695D6A">
              <w:rPr>
                <w:vertAlign w:val="superscript"/>
              </w:rPr>
              <w:t>3</w:t>
            </w:r>
          </w:p>
        </w:tc>
      </w:tr>
    </w:tbl>
    <w:p w:rsidR="002B2D47" w:rsidRDefault="002B2D47"/>
    <w:p w:rsidR="00BD5303" w:rsidRPr="005E6D87" w:rsidRDefault="009D0034">
      <w:r>
        <w:t>Table 2</w:t>
      </w:r>
      <w:r w:rsidR="00F36A1D">
        <w:t xml:space="preserve">: </w:t>
      </w:r>
      <w:r w:rsidR="0077745A">
        <w:t xml:space="preserve">Macromechanical behavior of models calibrated to Berea Sandstone after </w:t>
      </w:r>
      <w:r w:rsidR="00BC467E" w:rsidRPr="0077745A">
        <w:rPr>
          <w:color w:val="7030A0"/>
          <w:vertAlign w:val="superscript"/>
        </w:rPr>
        <w:t>1</w:t>
      </w:r>
      <w:r w:rsidR="00BC467E" w:rsidRPr="0077745A">
        <w:rPr>
          <w:color w:val="7030A0"/>
        </w:rPr>
        <w:t>Bobich, 2005</w:t>
      </w:r>
      <w:r w:rsidR="0077745A">
        <w:t xml:space="preserve">, and </w:t>
      </w:r>
      <w:r w:rsidR="00695D6A">
        <w:rPr>
          <w:color w:val="7030A0"/>
          <w:vertAlign w:val="superscript"/>
        </w:rPr>
        <w:t>2</w:t>
      </w:r>
      <w:r w:rsidR="00241F8A" w:rsidRPr="0077745A">
        <w:rPr>
          <w:color w:val="7030A0"/>
        </w:rPr>
        <w:t>Schellart, 2000</w:t>
      </w:r>
      <w:r w:rsidR="0077745A">
        <w:t xml:space="preserve">; and Lac du Bonnet Granite after </w:t>
      </w:r>
      <w:r w:rsidR="00695D6A">
        <w:rPr>
          <w:color w:val="7030A0"/>
          <w:vertAlign w:val="superscript"/>
        </w:rPr>
        <w:t>3</w:t>
      </w:r>
      <w:r w:rsidR="007C6306" w:rsidRPr="0077745A">
        <w:rPr>
          <w:color w:val="7030A0"/>
        </w:rPr>
        <w:t>Martin</w:t>
      </w:r>
      <w:r w:rsidR="00FC5B1E" w:rsidRPr="0077745A">
        <w:rPr>
          <w:color w:val="7030A0"/>
        </w:rPr>
        <w:t xml:space="preserve"> and Chandler, 1994</w:t>
      </w:r>
      <w:r w:rsidR="0077745A">
        <w:t xml:space="preserve">. </w:t>
      </w:r>
    </w:p>
    <w:sectPr w:rsidR="00BD5303" w:rsidRPr="005E6D87" w:rsidSect="002B2D4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47"/>
    <w:rsid w:val="0005435D"/>
    <w:rsid w:val="00241F8A"/>
    <w:rsid w:val="00242232"/>
    <w:rsid w:val="002B2D47"/>
    <w:rsid w:val="00305A62"/>
    <w:rsid w:val="00354F93"/>
    <w:rsid w:val="004B7807"/>
    <w:rsid w:val="00526642"/>
    <w:rsid w:val="00557CA7"/>
    <w:rsid w:val="00564D65"/>
    <w:rsid w:val="005E16CA"/>
    <w:rsid w:val="005E6D87"/>
    <w:rsid w:val="0061076D"/>
    <w:rsid w:val="00695D6A"/>
    <w:rsid w:val="006F2925"/>
    <w:rsid w:val="0077745A"/>
    <w:rsid w:val="00785042"/>
    <w:rsid w:val="007C6306"/>
    <w:rsid w:val="007D4418"/>
    <w:rsid w:val="00803081"/>
    <w:rsid w:val="009576CB"/>
    <w:rsid w:val="009A2693"/>
    <w:rsid w:val="009D0034"/>
    <w:rsid w:val="00A4117D"/>
    <w:rsid w:val="00AF4774"/>
    <w:rsid w:val="00BB6A19"/>
    <w:rsid w:val="00BC467E"/>
    <w:rsid w:val="00BD5303"/>
    <w:rsid w:val="00D00665"/>
    <w:rsid w:val="00D93FA8"/>
    <w:rsid w:val="00DD2EDC"/>
    <w:rsid w:val="00DF0874"/>
    <w:rsid w:val="00E01FEE"/>
    <w:rsid w:val="00E81D67"/>
    <w:rsid w:val="00F03766"/>
    <w:rsid w:val="00F36A1D"/>
    <w:rsid w:val="00F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7F4FF-0C5E-439D-A8A1-D091BBD0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B2D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B2D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2</cp:revision>
  <dcterms:created xsi:type="dcterms:W3CDTF">2018-09-11T16:46:00Z</dcterms:created>
  <dcterms:modified xsi:type="dcterms:W3CDTF">2018-09-11T16:46:00Z</dcterms:modified>
</cp:coreProperties>
</file>