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AA" w:rsidRPr="00522C86" w:rsidRDefault="00522C86">
      <w:pPr>
        <w:rPr>
          <w:b/>
          <w:sz w:val="28"/>
          <w:u w:val="single"/>
        </w:rPr>
      </w:pPr>
      <w:r w:rsidRPr="00522C86">
        <w:rPr>
          <w:b/>
          <w:sz w:val="28"/>
          <w:u w:val="single"/>
        </w:rPr>
        <w:t>Pressure gradient – flow through permeability tests</w:t>
      </w:r>
    </w:p>
    <w:p w:rsidR="00522C86" w:rsidRDefault="00522C86">
      <w:bookmarkStart w:id="0" w:name="_GoBack"/>
      <w:bookmarkEnd w:id="0"/>
    </w:p>
    <w:sectPr w:rsidR="0052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86"/>
    <w:rsid w:val="00522C86"/>
    <w:rsid w:val="007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621"/>
  <w15:chartTrackingRefBased/>
  <w15:docId w15:val="{530B75D5-5177-4A30-8AAF-00E8C788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1</cp:revision>
  <dcterms:created xsi:type="dcterms:W3CDTF">2016-07-08T19:38:00Z</dcterms:created>
  <dcterms:modified xsi:type="dcterms:W3CDTF">2016-07-08T19:39:00Z</dcterms:modified>
</cp:coreProperties>
</file>