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3932D" w14:textId="77777777" w:rsidR="00637FDA" w:rsidRPr="00185C75" w:rsidRDefault="00000000">
      <w:pPr>
        <w:jc w:val="center"/>
      </w:pPr>
      <w:r w:rsidRPr="00185C75">
        <w:rPr>
          <w:b/>
          <w:bCs/>
        </w:rPr>
        <w:t>Volatility Modeling of SPY and Crude Oil Prices:</w:t>
      </w:r>
    </w:p>
    <w:p w14:paraId="7EA20A33" w14:textId="77777777" w:rsidR="00637FDA" w:rsidRPr="00185C75" w:rsidRDefault="00000000">
      <w:pPr>
        <w:jc w:val="center"/>
      </w:pPr>
      <w:r w:rsidRPr="00185C75">
        <w:rPr>
          <w:b/>
          <w:bCs/>
        </w:rPr>
        <w:t>Traditional, Regime-Switching, and Machine Learning Approaches</w:t>
      </w:r>
    </w:p>
    <w:p w14:paraId="296E331A" w14:textId="77777777" w:rsidR="00637FDA" w:rsidRPr="00185C75" w:rsidRDefault="00637FDA"/>
    <w:p w14:paraId="03AB2791" w14:textId="77777777" w:rsidR="00637FDA" w:rsidRPr="00185C75" w:rsidRDefault="00000000">
      <w:pPr>
        <w:jc w:val="center"/>
      </w:pPr>
      <w:r w:rsidRPr="00185C75">
        <w:t>[Author Names]</w:t>
      </w:r>
    </w:p>
    <w:p w14:paraId="6AE40A04" w14:textId="77777777" w:rsidR="00637FDA" w:rsidRPr="00185C75" w:rsidRDefault="00000000">
      <w:pPr>
        <w:jc w:val="center"/>
      </w:pPr>
      <w:r w:rsidRPr="00185C75">
        <w:t>ISYE 6402 – Time Series Analysis</w:t>
      </w:r>
    </w:p>
    <w:p w14:paraId="30772202" w14:textId="77777777" w:rsidR="00637FDA" w:rsidRPr="00185C75" w:rsidRDefault="00637FDA"/>
    <w:p w14:paraId="65607AF2" w14:textId="77777777" w:rsidR="00637FDA" w:rsidRPr="00185C75" w:rsidRDefault="00637FDA"/>
    <w:p w14:paraId="4159760C" w14:textId="77777777" w:rsidR="00637FDA" w:rsidRPr="00185C75" w:rsidRDefault="00000000">
      <w:r w:rsidRPr="00185C75">
        <w:rPr>
          <w:b/>
          <w:bCs/>
        </w:rPr>
        <w:t>1. The ‘Problem’ / Literature Review</w:t>
      </w:r>
    </w:p>
    <w:p w14:paraId="201285ED" w14:textId="77777777" w:rsidR="00637FDA" w:rsidRPr="00185C75" w:rsidRDefault="00637FDA"/>
    <w:p w14:paraId="01A8873B" w14:textId="77777777" w:rsidR="00637FDA" w:rsidRPr="00185C75" w:rsidRDefault="00000000">
      <w:r w:rsidRPr="00185C75">
        <w:rPr>
          <w:i/>
          <w:iCs/>
        </w:rPr>
        <w:t>1.1 Problem Origin</w:t>
      </w:r>
    </w:p>
    <w:p w14:paraId="39588367" w14:textId="77777777" w:rsidR="00637FDA" w:rsidRPr="00185C75" w:rsidRDefault="00000000">
      <w:r w:rsidRPr="00185C75">
        <w:t>[Discuss the origin of the volatility modeling problem. Introduce why volatility in equity and commodity markets matters for risk management, derivative pricing, and portfolio allocation. Cite foundational work such as Engle (1982) on ARCH and Bollerslev (1986) on GARCH. Explain how early models assumed a single volatility regime and why this was initially sufficient.]</w:t>
      </w:r>
    </w:p>
    <w:p w14:paraId="13B5DD44" w14:textId="77777777" w:rsidR="00637FDA" w:rsidRPr="00185C75" w:rsidRDefault="00637FDA"/>
    <w:p w14:paraId="42F62649" w14:textId="77777777" w:rsidR="00637FDA" w:rsidRPr="00185C75" w:rsidRDefault="00000000">
      <w:r w:rsidRPr="00185C75">
        <w:rPr>
          <w:i/>
          <w:iCs/>
        </w:rPr>
        <w:t>1.2 Problem Evolution</w:t>
      </w:r>
    </w:p>
    <w:p w14:paraId="78279B47" w14:textId="77777777" w:rsidR="00637FDA" w:rsidRPr="00185C75" w:rsidRDefault="00000000">
      <w:r w:rsidRPr="00185C75">
        <w:t>[Trace the progression from single-regime GARCH to more flexible specifications. Discuss the recognition that financial markets exhibit structural breaks and regime changes—calm vs. turbulent periods—motivating Hamilton’s (1989) Markov-switching framework. Describe how researchers extended this to MS-GARCH models (Haas et al., 2004; Klaassen, 2002) and how Bayesian estimation methods expanded the toolkit (Ardia et al., 2019). Note the parallel evolution in commodity volatility modeling, particularly for crude oil (Alizadeh et al., 2008).]</w:t>
      </w:r>
    </w:p>
    <w:p w14:paraId="227CEE0D" w14:textId="77777777" w:rsidR="00637FDA" w:rsidRPr="00185C75" w:rsidRDefault="00637FDA"/>
    <w:p w14:paraId="2DC53AEC" w14:textId="77777777" w:rsidR="00637FDA" w:rsidRPr="00185C75" w:rsidRDefault="00000000">
      <w:r w:rsidRPr="00185C75">
        <w:rPr>
          <w:i/>
          <w:iCs/>
        </w:rPr>
        <w:t>1.3 Problem Impact</w:t>
      </w:r>
    </w:p>
    <w:p w14:paraId="02722D2E" w14:textId="77777777" w:rsidR="00637FDA" w:rsidRPr="00185C75" w:rsidRDefault="00000000">
      <w:r w:rsidRPr="00185C75">
        <w:t>[Explain the real-world impact of accurate volatility forecasting: improved Value-at-Risk estimates for regulatory compliance, better hedging strategies for energy firms, more accurate option pricing, and superior portfolio risk budgeting. Discuss the cost of model misspecification—e.g., underestimated tail risk during the 2008 financial crisis or 2020 oil price crash. Argue that solving the multi-regime volatility problem has direct implications for financial stability and investor protection.]</w:t>
      </w:r>
    </w:p>
    <w:p w14:paraId="713BEF16" w14:textId="77777777" w:rsidR="00637FDA" w:rsidRPr="00185C75" w:rsidRDefault="00637FDA"/>
    <w:p w14:paraId="235013BC" w14:textId="77777777" w:rsidR="00637FDA" w:rsidRPr="00185C75" w:rsidRDefault="00000000">
      <w:r w:rsidRPr="00185C75">
        <w:rPr>
          <w:i/>
          <w:iCs/>
        </w:rPr>
        <w:t>1.4 Previous Analytical Efforts</w:t>
      </w:r>
    </w:p>
    <w:p w14:paraId="5211DD8D" w14:textId="77777777" w:rsidR="00637FDA" w:rsidRPr="00185C75" w:rsidRDefault="00637FDA"/>
    <w:p w14:paraId="126D444A" w14:textId="77777777" w:rsidR="00637FDA" w:rsidRPr="00185C75" w:rsidRDefault="00000000">
      <w:r w:rsidRPr="00185C75">
        <w:rPr>
          <w:b/>
          <w:bCs/>
        </w:rPr>
        <w:t xml:space="preserve">Approach 1: Markov-Switching GARCH (Haas et al., 2004). </w:t>
      </w:r>
      <w:r w:rsidRPr="00185C75">
        <w:t>[Describe the MS-GARCH model with independent conditional variance equations per regime. Merits: captures distinct volatility dynamics across states, improves density forecasts and VaR accuracy. Shortcomings: computational complexity scales with regimes, assumes fixed number of states, may overfit with too many regimes.]</w:t>
      </w:r>
    </w:p>
    <w:p w14:paraId="04E18B1A" w14:textId="77777777" w:rsidR="00637FDA" w:rsidRPr="00185C75" w:rsidRDefault="00637FDA"/>
    <w:p w14:paraId="5BA20B1B" w14:textId="77777777" w:rsidR="00637FDA" w:rsidRPr="00185C75" w:rsidRDefault="00000000">
      <w:r w:rsidRPr="00185C75">
        <w:rPr>
          <w:b/>
          <w:bCs/>
        </w:rPr>
        <w:t xml:space="preserve">Approach 2: MS-GARCH with Adjusted Transition Variance (Klaassen, 2002). </w:t>
      </w:r>
      <w:r w:rsidRPr="00185C75">
        <w:t>[Describe Klaassen’s formulation that adjusts expected conditional variance at regime transitions to mitigate path-dependence. Merits: improved tractability, smoother volatility estimates across regime boundaries. Shortcomings: restrictive assumptions on the transition mechanism, limited to symmetric GARCH dynamics without leverage effects.]</w:t>
      </w:r>
    </w:p>
    <w:p w14:paraId="72910085" w14:textId="77777777" w:rsidR="00637FDA" w:rsidRPr="00185C75" w:rsidRDefault="00637FDA"/>
    <w:p w14:paraId="3FCDD5DE" w14:textId="6E294E53" w:rsidR="00637FDA" w:rsidRPr="00185C75" w:rsidRDefault="00000000">
      <w:pPr>
        <w:rPr>
          <w:b/>
          <w:bCs/>
        </w:rPr>
      </w:pPr>
      <w:r w:rsidRPr="00185C75">
        <w:rPr>
          <w:b/>
          <w:bCs/>
        </w:rPr>
        <w:lastRenderedPageBreak/>
        <w:t xml:space="preserve">Approach 3: Machine-Learning-Enhanced Models </w:t>
      </w:r>
    </w:p>
    <w:p w14:paraId="76AEB0A1" w14:textId="77777777" w:rsidR="00185C75" w:rsidRPr="00185C75" w:rsidRDefault="00185C75"/>
    <w:p w14:paraId="56928089" w14:textId="77777777" w:rsidR="00637FDA" w:rsidRPr="00185C75" w:rsidRDefault="00637FDA"/>
    <w:p w14:paraId="4D59EE45" w14:textId="77777777" w:rsidR="00637FDA" w:rsidRPr="00185C75" w:rsidRDefault="00637FDA"/>
    <w:p w14:paraId="0E16B97E" w14:textId="77777777" w:rsidR="00637FDA" w:rsidRPr="00185C75" w:rsidRDefault="00000000">
      <w:r w:rsidRPr="00185C75">
        <w:rPr>
          <w:b/>
          <w:bCs/>
        </w:rPr>
        <w:t>2. The Plan</w:t>
      </w:r>
    </w:p>
    <w:p w14:paraId="18D6C3E2" w14:textId="77777777" w:rsidR="00637FDA" w:rsidRPr="00185C75" w:rsidRDefault="00637FDA"/>
    <w:p w14:paraId="022575EB" w14:textId="77777777" w:rsidR="00637FDA" w:rsidRPr="00185C75" w:rsidRDefault="00000000">
      <w:r w:rsidRPr="00185C75">
        <w:rPr>
          <w:i/>
          <w:iCs/>
        </w:rPr>
        <w:t>2.1 Rationale</w:t>
      </w:r>
    </w:p>
    <w:p w14:paraId="7229706A" w14:textId="77777777" w:rsidR="00637FDA" w:rsidRPr="00185C75" w:rsidRDefault="00000000">
      <w:r w:rsidRPr="00185C75">
        <w:t>[Explain why this project was chosen: volatility modeling is central to the course’s themes of time series analysis, and SPY/crude oil represent two asset classes with distinct volatility profiles—equity index (mean-reverting, leverage effect) and commodity (supply-shock-driven, fat tails). State why Yahoo Finance was chosen as the data source (free, reliable, well-documented API via yfinance). Discuss anticipated challenges: regime count selection, computational cost of MS-GARCH estimation, difficulty evaluating forecasts without high-frequency realized volatility benchmarks. Summarize what initial exploratory analysis revealed—e.g., heavy tails in return distributions, volatility clustering visible in ACF of squared returns, possible structural breaks around known events (COVID-19, 2022 energy crisis).]</w:t>
      </w:r>
    </w:p>
    <w:p w14:paraId="3ACA8D9E" w14:textId="77777777" w:rsidR="00637FDA" w:rsidRPr="00185C75" w:rsidRDefault="00637FDA"/>
    <w:p w14:paraId="07A7C197" w14:textId="77777777" w:rsidR="00637FDA" w:rsidRPr="00185C75" w:rsidRDefault="00000000">
      <w:r w:rsidRPr="00185C75">
        <w:rPr>
          <w:i/>
          <w:iCs/>
        </w:rPr>
        <w:t>2.2 Dataset Selection</w:t>
      </w:r>
    </w:p>
    <w:p w14:paraId="49BA7381" w14:textId="77777777" w:rsidR="00637FDA" w:rsidRPr="00185C75" w:rsidRDefault="00000000">
      <w:r w:rsidRPr="00185C75">
        <w:t>[Describe the datasets in detail: SPY ETF daily adjusted close prices and WTI crude oil futures (CL=F) from Yahoo Finance. Specify the sample period and justify the choice—long enough to capture multiple volatility regimes, including the 2008 crisis, 2014–2016 oil crash, COVID-19 period, and 2022 energy shock. Discuss data preprocessing: log-return computation, handling of missing values and non-trading days, stationarity testing via ADF and KPSS tests. Cite relevant data description practices.]</w:t>
      </w:r>
    </w:p>
    <w:p w14:paraId="10EDF7CE" w14:textId="77777777" w:rsidR="00637FDA" w:rsidRPr="00185C75" w:rsidRDefault="00637FDA"/>
    <w:p w14:paraId="14484872" w14:textId="77777777" w:rsidR="00637FDA" w:rsidRPr="00185C75" w:rsidRDefault="00000000">
      <w:r w:rsidRPr="00185C75">
        <w:rPr>
          <w:i/>
          <w:iCs/>
        </w:rPr>
        <w:t>2.3 Traditional Volatility Models</w:t>
      </w:r>
    </w:p>
    <w:p w14:paraId="340FF024" w14:textId="77777777" w:rsidR="00637FDA" w:rsidRPr="00185C75" w:rsidRDefault="00000000">
      <w:r w:rsidRPr="00185C75">
        <w:t>[Describe GARCH(1,1) and GJR-GARCH(1,1) as baseline models. Explain the estimation procedure using maximum likelihood with normal and Student-t innovations. Discuss model diagnostics: Ljung-Box tests on standardized residuals, ARCH-LM tests for remaining heteroskedasticity. These baselines establish the performance floor against which regime-switching and ML models will be compared. Cite Bollerslev (1986) and Glosten et al. (1993).]</w:t>
      </w:r>
    </w:p>
    <w:p w14:paraId="627C6DCB" w14:textId="77777777" w:rsidR="00637FDA" w:rsidRPr="00185C75" w:rsidRDefault="00637FDA"/>
    <w:p w14:paraId="5A8CE0FB" w14:textId="77777777" w:rsidR="00637FDA" w:rsidRPr="00185C75" w:rsidRDefault="00000000">
      <w:r w:rsidRPr="00185C75">
        <w:rPr>
          <w:i/>
          <w:iCs/>
        </w:rPr>
        <w:t>2.4 Regime-Switching Models</w:t>
      </w:r>
    </w:p>
    <w:p w14:paraId="699FEE06" w14:textId="77777777" w:rsidR="00637FDA" w:rsidRPr="00185C75" w:rsidRDefault="00000000">
      <w:r w:rsidRPr="00185C75">
        <w:t>[Detail the MS-GARCH implementation: two-state and three-state specifications with both normal and Student-t innovations. Explain estimation via the Hamilton filter and EM algorithm. Describe regime identification and smoothed probability extraction. Discuss model selection using AIC, BIC, and log-likelihood ratio tests. Explain how regime-switching captures structural breaks that single-regime models miss. Reference the MSGARCH R package (Ardia et al., 2019) and statsmodels Markov-switching module for implementation. Address the rolling-window out-of-sample forecasting setup and VaR evaluation via Kupiec and Christoffersen tests.]</w:t>
      </w:r>
    </w:p>
    <w:p w14:paraId="377B4B26" w14:textId="77777777" w:rsidR="00637FDA" w:rsidRPr="00185C75" w:rsidRDefault="00637FDA"/>
    <w:p w14:paraId="0FFECB06" w14:textId="77777777" w:rsidR="00637FDA" w:rsidRPr="00185C75" w:rsidRDefault="00000000">
      <w:r w:rsidRPr="00185C75">
        <w:rPr>
          <w:i/>
          <w:iCs/>
        </w:rPr>
        <w:t>2.5 Machine Learning Approaches</w:t>
      </w:r>
    </w:p>
    <w:p w14:paraId="11F88AE2" w14:textId="77777777" w:rsidR="00637FDA" w:rsidRPr="00185C75" w:rsidRDefault="00637FDA"/>
    <w:p w14:paraId="06F4A9D7" w14:textId="77777777" w:rsidR="00637FDA" w:rsidRPr="00185C75" w:rsidRDefault="00637FDA"/>
    <w:p w14:paraId="7324573F" w14:textId="77777777" w:rsidR="00637FDA" w:rsidRPr="00185C75" w:rsidRDefault="00000000">
      <w:r w:rsidRPr="00185C75">
        <w:rPr>
          <w:b/>
          <w:bCs/>
        </w:rPr>
        <w:t>3. Appendix: Team Contributions</w:t>
      </w:r>
    </w:p>
    <w:p w14:paraId="54340A4A" w14:textId="77777777" w:rsidR="00637FDA" w:rsidRPr="00185C75" w:rsidRDefault="00637FDA"/>
    <w:p w14:paraId="6B7BA334" w14:textId="77777777" w:rsidR="00637FDA" w:rsidRPr="00185C75" w:rsidRDefault="00000000">
      <w:r w:rsidRPr="00185C75">
        <w:rPr>
          <w:i/>
          <w:iCs/>
        </w:rPr>
        <w:lastRenderedPageBreak/>
        <w:t>3.1 Shared Work</w:t>
      </w:r>
    </w:p>
    <w:p w14:paraId="4EB75513" w14:textId="77777777" w:rsidR="00637FDA" w:rsidRPr="00185C75" w:rsidRDefault="00637FDA"/>
    <w:p w14:paraId="6A478DD2" w14:textId="77777777" w:rsidR="00637FDA" w:rsidRPr="00185C75" w:rsidRDefault="00000000">
      <w:r w:rsidRPr="00185C75">
        <w:rPr>
          <w:i/>
          <w:iCs/>
        </w:rPr>
        <w:t>3.2 Individual Analysis Attribution</w:t>
      </w:r>
    </w:p>
    <w:p w14:paraId="28478649" w14:textId="387EBA75" w:rsidR="00637FDA" w:rsidRPr="00185C75" w:rsidRDefault="00000000" w:rsidP="00185C75">
      <w:r w:rsidRPr="00185C75">
        <w:t>[Attribute each modeling approach to its respective team member.</w:t>
      </w:r>
      <w:r w:rsidR="00185C75" w:rsidRPr="00185C75">
        <w:t>]</w:t>
      </w:r>
    </w:p>
    <w:p w14:paraId="270BF674" w14:textId="77777777" w:rsidR="00185C75" w:rsidRPr="00185C75" w:rsidRDefault="00185C75" w:rsidP="00185C75"/>
    <w:p w14:paraId="78AD06F5" w14:textId="77777777" w:rsidR="00185C75" w:rsidRPr="00185C75" w:rsidRDefault="00185C75" w:rsidP="00185C75"/>
    <w:p w14:paraId="5AF768B2" w14:textId="77777777" w:rsidR="00637FDA" w:rsidRPr="00185C75" w:rsidRDefault="00637FDA"/>
    <w:p w14:paraId="60786E1F" w14:textId="77777777" w:rsidR="00637FDA" w:rsidRPr="00185C75" w:rsidRDefault="00000000">
      <w:r w:rsidRPr="00185C75">
        <w:rPr>
          <w:b/>
          <w:bCs/>
        </w:rPr>
        <w:t>References</w:t>
      </w:r>
    </w:p>
    <w:p w14:paraId="072585F7" w14:textId="77777777" w:rsidR="00637FDA" w:rsidRPr="00185C75" w:rsidRDefault="00637FDA"/>
    <w:p w14:paraId="4590FB05" w14:textId="77777777" w:rsidR="00637FDA" w:rsidRPr="00185C75" w:rsidRDefault="00000000">
      <w:pPr>
        <w:ind w:left="720" w:hanging="720"/>
      </w:pPr>
      <w:r w:rsidRPr="00185C75">
        <w:t xml:space="preserve">Alizadeh, A. H., Nomikos, N. K., &amp; Pouliasis, P. K. (2008). A Markov regime switching approach for hedging energy commodities. </w:t>
      </w:r>
      <w:r w:rsidRPr="00185C75">
        <w:rPr>
          <w:i/>
          <w:iCs/>
        </w:rPr>
        <w:t>Journal of Banking &amp; Finance, 32</w:t>
      </w:r>
      <w:r w:rsidRPr="00185C75">
        <w:t>(9), 1970–1983. https://doi.org/10.1016/j.jbankfin.2007.12.020</w:t>
      </w:r>
    </w:p>
    <w:p w14:paraId="65FAC1AF" w14:textId="77777777" w:rsidR="00637FDA" w:rsidRPr="00185C75" w:rsidRDefault="00637FDA"/>
    <w:p w14:paraId="5FE552BB" w14:textId="77777777" w:rsidR="00637FDA" w:rsidRPr="00185C75" w:rsidRDefault="00000000">
      <w:pPr>
        <w:ind w:left="720" w:hanging="720"/>
      </w:pPr>
      <w:r w:rsidRPr="00185C75">
        <w:t xml:space="preserve">Ardia, D., Bluteau, K., Boudt, K., &amp; Catania, L. (2019). Markov-switching GARCH models in R: The MSGARCH package. </w:t>
      </w:r>
      <w:r w:rsidRPr="00185C75">
        <w:rPr>
          <w:i/>
          <w:iCs/>
        </w:rPr>
        <w:t>Journal of Statistical Software, 91</w:t>
      </w:r>
      <w:r w:rsidRPr="00185C75">
        <w:t>(4), 1–38. https://doi.org/10.18637/jss.v091.i04</w:t>
      </w:r>
    </w:p>
    <w:p w14:paraId="7BA3A8F2" w14:textId="77777777" w:rsidR="00637FDA" w:rsidRPr="00185C75" w:rsidRDefault="00637FDA"/>
    <w:p w14:paraId="50954406" w14:textId="77777777" w:rsidR="00637FDA" w:rsidRPr="00185C75" w:rsidRDefault="00000000">
      <w:pPr>
        <w:ind w:left="720" w:hanging="720"/>
      </w:pPr>
      <w:r w:rsidRPr="00185C75">
        <w:t xml:space="preserve">Bollerslev, T. (1986). Generalized autoregressive conditional heteroskedasticity. </w:t>
      </w:r>
      <w:r w:rsidRPr="00185C75">
        <w:rPr>
          <w:i/>
          <w:iCs/>
        </w:rPr>
        <w:t>Journal of Econometrics, 31</w:t>
      </w:r>
      <w:r w:rsidRPr="00185C75">
        <w:t>(3), 307–327. https://doi.org/10.1016/0304-4076(86)90063-1</w:t>
      </w:r>
    </w:p>
    <w:p w14:paraId="095F7A9E" w14:textId="77777777" w:rsidR="00637FDA" w:rsidRPr="00185C75" w:rsidRDefault="00637FDA"/>
    <w:p w14:paraId="2EEFAA1C" w14:textId="77777777" w:rsidR="00637FDA" w:rsidRPr="00185C75" w:rsidRDefault="00000000">
      <w:pPr>
        <w:ind w:left="720" w:hanging="720"/>
      </w:pPr>
      <w:r w:rsidRPr="00185C75">
        <w:t xml:space="preserve">Charles, A., &amp; Darné, O. (2017). Forecasting crude-oil market volatility: Further evidence with jumps. </w:t>
      </w:r>
      <w:r w:rsidRPr="00185C75">
        <w:rPr>
          <w:i/>
          <w:iCs/>
        </w:rPr>
        <w:t>Energy Economics, 67</w:t>
      </w:r>
      <w:r w:rsidRPr="00185C75">
        <w:t>, 508–519. https://doi.org/10.1016/j.eneco.2017.09.002</w:t>
      </w:r>
    </w:p>
    <w:p w14:paraId="3B5DBC2E" w14:textId="77777777" w:rsidR="00637FDA" w:rsidRPr="00185C75" w:rsidRDefault="00637FDA"/>
    <w:p w14:paraId="1608F98B" w14:textId="77777777" w:rsidR="00637FDA" w:rsidRPr="00185C75" w:rsidRDefault="00000000">
      <w:pPr>
        <w:ind w:left="720" w:hanging="720"/>
      </w:pPr>
      <w:r w:rsidRPr="00185C75">
        <w:t xml:space="preserve">Engle, R. F. (1982). Autoregressive conditional heteroscedasticity with estimates of the variance of United Kingdom inflation. </w:t>
      </w:r>
      <w:r w:rsidRPr="00185C75">
        <w:rPr>
          <w:i/>
          <w:iCs/>
        </w:rPr>
        <w:t>Econometrica, 50</w:t>
      </w:r>
      <w:r w:rsidRPr="00185C75">
        <w:t>(4), 987–1007. https://doi.org/10.2307/1912773</w:t>
      </w:r>
    </w:p>
    <w:p w14:paraId="715A1240" w14:textId="77777777" w:rsidR="00637FDA" w:rsidRPr="00185C75" w:rsidRDefault="00637FDA"/>
    <w:p w14:paraId="277B0967" w14:textId="77777777" w:rsidR="00637FDA" w:rsidRPr="00185C75" w:rsidRDefault="00000000">
      <w:pPr>
        <w:ind w:left="720" w:hanging="720"/>
      </w:pPr>
      <w:r w:rsidRPr="00185C75">
        <w:t xml:space="preserve">Glosten, L. R., Jagannathan, R., &amp; Runkle, D. E. (1993). On the relation between the expected value and the volatility of the nominal excess return on stocks. </w:t>
      </w:r>
      <w:r w:rsidRPr="00185C75">
        <w:rPr>
          <w:i/>
          <w:iCs/>
        </w:rPr>
        <w:t>The Journal of Finance, 48</w:t>
      </w:r>
      <w:r w:rsidRPr="00185C75">
        <w:t>(5), 1779–1801. https://doi.org/10.1111/j.1540-6261.1993.tb05128.x</w:t>
      </w:r>
    </w:p>
    <w:p w14:paraId="36247A54" w14:textId="77777777" w:rsidR="00637FDA" w:rsidRPr="00185C75" w:rsidRDefault="00637FDA"/>
    <w:p w14:paraId="3075AE0D" w14:textId="77777777" w:rsidR="00637FDA" w:rsidRPr="00185C75" w:rsidRDefault="00000000">
      <w:pPr>
        <w:ind w:left="720" w:hanging="720"/>
      </w:pPr>
      <w:r w:rsidRPr="00185C75">
        <w:t xml:space="preserve">Haas, M., Mittnik, S., &amp; Paolella, M. S. (2004). A new approach to Markov-switching GARCH models. </w:t>
      </w:r>
      <w:r w:rsidRPr="00185C75">
        <w:rPr>
          <w:i/>
          <w:iCs/>
        </w:rPr>
        <w:t>Journal of Financial Econometrics, 2</w:t>
      </w:r>
      <w:r w:rsidRPr="00185C75">
        <w:t>(4), 493–530. https://doi.org/10.1093/jjfinec/nbh020</w:t>
      </w:r>
    </w:p>
    <w:p w14:paraId="2DA2F1C7" w14:textId="77777777" w:rsidR="00637FDA" w:rsidRPr="00185C75" w:rsidRDefault="00637FDA"/>
    <w:p w14:paraId="5F223CF4" w14:textId="77777777" w:rsidR="00637FDA" w:rsidRPr="00185C75" w:rsidRDefault="00000000">
      <w:pPr>
        <w:ind w:left="720" w:hanging="720"/>
      </w:pPr>
      <w:r w:rsidRPr="00185C75">
        <w:t xml:space="preserve">Hamilton, J. D. (1989). A new approach to the economic analysis of nonstationary time series and the business cycle. </w:t>
      </w:r>
      <w:r w:rsidRPr="00185C75">
        <w:rPr>
          <w:i/>
          <w:iCs/>
        </w:rPr>
        <w:t>Econometrica, 57</w:t>
      </w:r>
      <w:r w:rsidRPr="00185C75">
        <w:t>(2), 357–384. https://doi.org/10.2307/1912559</w:t>
      </w:r>
    </w:p>
    <w:p w14:paraId="3F89386E" w14:textId="77777777" w:rsidR="00637FDA" w:rsidRPr="00185C75" w:rsidRDefault="00637FDA"/>
    <w:p w14:paraId="0E469AFF" w14:textId="77777777" w:rsidR="00637FDA" w:rsidRPr="00185C75" w:rsidRDefault="00000000">
      <w:pPr>
        <w:ind w:left="720" w:hanging="720"/>
      </w:pPr>
      <w:r w:rsidRPr="00185C75">
        <w:t xml:space="preserve">Hardy, M. R. (2001). A regime-switching model of long-term stock returns. </w:t>
      </w:r>
      <w:r w:rsidRPr="00185C75">
        <w:rPr>
          <w:i/>
          <w:iCs/>
        </w:rPr>
        <w:t>North American Actuarial Journal, 5</w:t>
      </w:r>
      <w:r w:rsidRPr="00185C75">
        <w:t>(2), 41–53. https://doi.org/10.1080/10920277.2001.10595984</w:t>
      </w:r>
    </w:p>
    <w:p w14:paraId="45B4E39B" w14:textId="77777777" w:rsidR="00637FDA" w:rsidRPr="00185C75" w:rsidRDefault="00637FDA"/>
    <w:p w14:paraId="478C8946" w14:textId="77777777" w:rsidR="00637FDA" w:rsidRPr="00185C75" w:rsidRDefault="00000000">
      <w:pPr>
        <w:ind w:left="720" w:hanging="720"/>
      </w:pPr>
      <w:r w:rsidRPr="00185C75">
        <w:t xml:space="preserve">Klaassen, F. (2002). Improving GARCH volatility forecasts with regime-switching GARCH. </w:t>
      </w:r>
      <w:r w:rsidRPr="00185C75">
        <w:rPr>
          <w:i/>
          <w:iCs/>
        </w:rPr>
        <w:t>Empirical Economics, 27</w:t>
      </w:r>
      <w:r w:rsidRPr="00185C75">
        <w:t>(2), 363–394. https://doi.org/10.1007/s001810100100</w:t>
      </w:r>
    </w:p>
    <w:p w14:paraId="757B25B5" w14:textId="77777777" w:rsidR="00637FDA" w:rsidRPr="00185C75" w:rsidRDefault="00637FDA"/>
    <w:p w14:paraId="10628472" w14:textId="26BAFA84" w:rsidR="00637FDA" w:rsidRPr="00185C75" w:rsidRDefault="00637FDA">
      <w:pPr>
        <w:ind w:left="720" w:hanging="720"/>
      </w:pPr>
    </w:p>
    <w:sectPr w:rsidR="00637FDA" w:rsidRPr="00185C7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70A4D"/>
    <w:multiLevelType w:val="hybridMultilevel"/>
    <w:tmpl w:val="A3AC74BA"/>
    <w:lvl w:ilvl="0" w:tplc="671E627A">
      <w:start w:val="1"/>
      <w:numFmt w:val="bullet"/>
      <w:lvlText w:val="●"/>
      <w:lvlJc w:val="left"/>
      <w:pPr>
        <w:ind w:left="720" w:hanging="360"/>
      </w:pPr>
    </w:lvl>
    <w:lvl w:ilvl="1" w:tplc="52285A4C">
      <w:start w:val="1"/>
      <w:numFmt w:val="bullet"/>
      <w:lvlText w:val="○"/>
      <w:lvlJc w:val="left"/>
      <w:pPr>
        <w:ind w:left="1440" w:hanging="360"/>
      </w:pPr>
    </w:lvl>
    <w:lvl w:ilvl="2" w:tplc="943C44DE">
      <w:start w:val="1"/>
      <w:numFmt w:val="bullet"/>
      <w:lvlText w:val="■"/>
      <w:lvlJc w:val="left"/>
      <w:pPr>
        <w:ind w:left="2160" w:hanging="360"/>
      </w:pPr>
    </w:lvl>
    <w:lvl w:ilvl="3" w:tplc="65BE9944">
      <w:start w:val="1"/>
      <w:numFmt w:val="bullet"/>
      <w:lvlText w:val="●"/>
      <w:lvlJc w:val="left"/>
      <w:pPr>
        <w:ind w:left="2880" w:hanging="360"/>
      </w:pPr>
    </w:lvl>
    <w:lvl w:ilvl="4" w:tplc="4C14F7E4">
      <w:start w:val="1"/>
      <w:numFmt w:val="bullet"/>
      <w:lvlText w:val="○"/>
      <w:lvlJc w:val="left"/>
      <w:pPr>
        <w:ind w:left="3600" w:hanging="360"/>
      </w:pPr>
    </w:lvl>
    <w:lvl w:ilvl="5" w:tplc="AD40E678">
      <w:start w:val="1"/>
      <w:numFmt w:val="bullet"/>
      <w:lvlText w:val="■"/>
      <w:lvlJc w:val="left"/>
      <w:pPr>
        <w:ind w:left="4320" w:hanging="360"/>
      </w:pPr>
    </w:lvl>
    <w:lvl w:ilvl="6" w:tplc="2D8A8224">
      <w:start w:val="1"/>
      <w:numFmt w:val="bullet"/>
      <w:lvlText w:val="●"/>
      <w:lvlJc w:val="left"/>
      <w:pPr>
        <w:ind w:left="5040" w:hanging="360"/>
      </w:pPr>
    </w:lvl>
    <w:lvl w:ilvl="7" w:tplc="30BE6DB6">
      <w:start w:val="1"/>
      <w:numFmt w:val="bullet"/>
      <w:lvlText w:val="●"/>
      <w:lvlJc w:val="left"/>
      <w:pPr>
        <w:ind w:left="5760" w:hanging="360"/>
      </w:pPr>
    </w:lvl>
    <w:lvl w:ilvl="8" w:tplc="3FCA7ABC">
      <w:start w:val="1"/>
      <w:numFmt w:val="bullet"/>
      <w:lvlText w:val="●"/>
      <w:lvlJc w:val="left"/>
      <w:pPr>
        <w:ind w:left="6480" w:hanging="360"/>
      </w:pPr>
    </w:lvl>
  </w:abstractNum>
  <w:num w:numId="1" w16cid:durableId="3597455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FDA"/>
    <w:rsid w:val="000F13B2"/>
    <w:rsid w:val="00185C75"/>
    <w:rsid w:val="00205C0C"/>
    <w:rsid w:val="00637FDA"/>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752BB2B"/>
  <w15:docId w15:val="{F130CB75-E897-CA43-84FA-B1F4D0465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JP"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1072</Words>
  <Characters>6116</Characters>
  <Application>Microsoft Office Word</Application>
  <DocSecurity>0</DocSecurity>
  <Lines>50</Lines>
  <Paragraphs>14</Paragraphs>
  <ScaleCrop>false</ScaleCrop>
  <Company/>
  <LinksUpToDate>false</LinksUpToDate>
  <CharactersWithSpaces>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 Gupta</cp:lastModifiedBy>
  <cp:revision>3</cp:revision>
  <dcterms:created xsi:type="dcterms:W3CDTF">2026-03-15T05:52:00Z</dcterms:created>
  <dcterms:modified xsi:type="dcterms:W3CDTF">2026-03-15T05:59:00Z</dcterms:modified>
</cp:coreProperties>
</file>