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Times New Roman" w:hAnsi="Times New Roman"/>
          <w:b/>
          <w:i w:val="0"/>
          <w:sz w:val="24"/>
        </w:rPr>
        <w:t>Modeling Volatility in Financial Markets</w:t>
      </w:r>
    </w:p>
    <w:p>
      <w:pPr>
        <w:spacing w:before="0" w:after="0" w:line="240" w:lineRule="auto"/>
        <w:jc w:val="center"/>
      </w:pPr>
      <w:r>
        <w:rPr>
          <w:rFonts w:ascii="Times New Roman" w:hAnsi="Times New Roman"/>
          <w:b w:val="0"/>
          <w:i/>
          <w:sz w:val="24"/>
        </w:rPr>
        <w:t>Final Report — Team 3</w:t>
      </w:r>
    </w:p>
    <w:p>
      <w:pPr>
        <w:spacing w:before="0" w:after="0" w:line="240" w:lineRule="auto"/>
        <w:jc w:val="center"/>
      </w:pPr>
      <w:r>
        <w:rPr>
          <w:rFonts w:ascii="Times New Roman" w:hAnsi="Times New Roman"/>
          <w:b w:val="0"/>
          <w:i/>
          <w:sz w:val="24"/>
        </w:rPr>
        <w:t>Yibo Liu, Mani Chandana Bandaru, Rajath Sathyanarayana, Yen-Shuo Su, Harsh Gupta</w:t>
      </w:r>
    </w:p>
    <w:p>
      <w:pPr>
        <w:spacing w:before="0" w:after="0" w:line="240" w:lineRule="auto"/>
      </w:pPr>
    </w:p>
    <w:p>
      <w:pPr>
        <w:spacing w:before="0" w:after="0" w:line="240" w:lineRule="auto"/>
      </w:pPr>
      <w:r>
        <w:rPr>
          <w:rFonts w:ascii="Times New Roman" w:hAnsi="Times New Roman"/>
          <w:b/>
          <w:i w:val="0"/>
          <w:sz w:val="24"/>
        </w:rPr>
        <w:t>1. Summary</w:t>
      </w:r>
    </w:p>
    <w:p>
      <w:pPr>
        <w:spacing w:before="0" w:after="0" w:line="240" w:lineRule="auto"/>
      </w:pPr>
      <w:r>
        <w:rPr>
          <w:rFonts w:ascii="Times New Roman" w:hAnsi="Times New Roman"/>
          <w:b w:val="0"/>
          <w:i w:val="0"/>
          <w:sz w:val="24"/>
        </w:rPr>
        <w:t>This report investigates one-step-ahead volatility forecasting for the SPDR S&amp;P 500 ETF (SPY) at the daily frequency. Twenty-two years of Yahoo Finance closing prices (Jan 2004 – Apr 2026) are split into train (2004–2021), validation (2022–2023), and test (2024–Apr 2026) blocks, with a strict expanding-window evaluation that prevents look-ahead bias. Two feature configurations are studied: a target-only set (no_exog) consisting of lagged returns, lagged squared returns, negative-shock indicators, and 5/10/22-day realized-volatility windows; and an exogenous set (with_exog) that augments these with lagged OIL, GOLD, DXY returns and the log-VIX level and first difference. Five families of models are benchmarked: GJR-GARCH, Markov-Switching GARCH (MS-GARCH), an LSTM with attention, a Transformer encoder, and gradient-boosted trees (XGBoost). On daily SPY, MS-GARCH (k=2, GJR variance, Student-t innovations) attains the lowest test RMSE (4.286) when augmented with exogenous features, while the LSTM-with-attention achieves the lowest QLIKE (0.649) and the Transformer matches MS-GARCH on RMSE (4.295) under with_exog. The three models also produce well-calibrated 1% and 5% VaR exceedances, in contrast with XGBoost, which yields the smallest MAE (0.926) but systematically under-estimates the conditional variance and therefore generates 11× the expected number of 1% VaR breaches. The major finding is that for SPY, regime-switching GARCH and attention-based recurrent networks deliver complementary but quantitatively similar gains over a single-regime GJR baseline; exogenous features (especially the VIX) provide consistent but modest improvements on the order of 1–10% in RMSE and QLIKE.</w:t>
      </w:r>
    </w:p>
    <w:p>
      <w:pPr>
        <w:spacing w:before="0" w:after="0" w:line="240" w:lineRule="auto"/>
      </w:pPr>
      <w:r>
        <w:rPr>
          <w:rFonts w:ascii="Times New Roman" w:hAnsi="Times New Roman"/>
          <w:b/>
          <w:i w:val="0"/>
          <w:sz w:val="24"/>
        </w:rPr>
        <w:t>2. Introduction</w:t>
      </w:r>
    </w:p>
    <w:p>
      <w:pPr>
        <w:spacing w:before="0" w:after="0" w:line="240" w:lineRule="auto"/>
      </w:pPr>
      <w:r>
        <w:rPr>
          <w:rFonts w:ascii="Times New Roman" w:hAnsi="Times New Roman"/>
          <w:b w:val="0"/>
          <w:i/>
          <w:sz w:val="24"/>
        </w:rPr>
        <w:t>2.1 Motivation and Prior Expectations</w:t>
      </w:r>
    </w:p>
    <w:p>
      <w:pPr>
        <w:spacing w:before="0" w:after="0" w:line="240" w:lineRule="auto"/>
      </w:pPr>
      <w:r>
        <w:rPr>
          <w:rFonts w:ascii="Times New Roman" w:hAnsi="Times New Roman"/>
          <w:b w:val="0"/>
          <w:i w:val="0"/>
          <w:sz w:val="24"/>
        </w:rPr>
        <w:t>Financial volatility is the degree to which asset prices fluctuate over time and is central to risk management, derivative pricing, and portfolio allocation. We selected this problem because (i) it aligns directly with the time-series themes of this course; (ii) SPY exhibits well-documented stylised facts — fat tails, leverage effects, and clustering — that motivate a layered modelling strategy; and (iii) repeated structural breaks (the 2008 GFC, the 2020 COVID crash, the 2022 energy shock) provide natural stress tests of any forecasting framework. Going in, we expected GARCH-family models to remain competitive on point accuracy because their functional form is well matched to volatility persistence, and we expected machine-learning models (LSTM, Transformer, XGBoost) to win on regimes where nonlinear interactions with macro features (VIX, DXY) become important. We anticipated that MS-GARCH would improve VaR calibration during crisis windows by separating calm and turbulent dynamics.</w:t>
      </w:r>
    </w:p>
    <w:p>
      <w:pPr>
        <w:spacing w:before="0" w:after="0" w:line="240" w:lineRule="auto"/>
      </w:pPr>
      <w:r>
        <w:rPr>
          <w:rFonts w:ascii="Times New Roman" w:hAnsi="Times New Roman"/>
          <w:b w:val="0"/>
          <w:i/>
          <w:sz w:val="24"/>
        </w:rPr>
        <w:t>2.2 Literature Review</w:t>
      </w:r>
    </w:p>
    <w:p>
      <w:pPr>
        <w:spacing w:before="0" w:after="0" w:line="240" w:lineRule="auto"/>
      </w:pPr>
      <w:r>
        <w:rPr>
          <w:rFonts w:ascii="Times New Roman" w:hAnsi="Times New Roman"/>
          <w:b w:val="0"/>
          <w:i/>
          <w:sz w:val="24"/>
        </w:rPr>
        <w:t xml:space="preserve">2.2.1 Problem Origin. </w:t>
      </w:r>
      <w:r>
        <w:rPr>
          <w:rFonts w:ascii="Times New Roman" w:hAnsi="Times New Roman"/>
          <w:b w:val="0"/>
          <w:i w:val="0"/>
          <w:sz w:val="24"/>
        </w:rPr>
        <w:t>The formal study of time-varying volatility began with Engle's (1982) ARCH model and was generalised by Bollerslev (1986) into the GARCH framework, which has dominated volatility research for four decades.</w:t>
      </w:r>
    </w:p>
    <w:p>
      <w:pPr>
        <w:spacing w:before="0" w:after="0" w:line="240" w:lineRule="auto"/>
      </w:pPr>
      <w:r>
        <w:rPr>
          <w:rFonts w:ascii="Times New Roman" w:hAnsi="Times New Roman"/>
          <w:b w:val="0"/>
          <w:i/>
          <w:sz w:val="24"/>
        </w:rPr>
        <w:t xml:space="preserve">2.2.2 Problem Evolution. </w:t>
      </w:r>
      <w:r>
        <w:rPr>
          <w:rFonts w:ascii="Times New Roman" w:hAnsi="Times New Roman"/>
          <w:b w:val="0"/>
          <w:i w:val="0"/>
          <w:sz w:val="24"/>
        </w:rPr>
        <w:t>While GARCH-family models capture clustering under a single regime, financial markets alternate between structurally distinct states that a single-regime specification cannot represent. Hamilton (1989) introduced the Markov-switching autoregressive model, and this insight was extended to volatility through the MS-GARCH specifications of Haas et al. (2004) and Klaassen (2002). In parallel, machine-learning methods — feed-forward networks, recurrent architectures, and ensemble methods — have been applied to forecast volatility directly, often outperforming classical models (Carr et al., 2020; Kim &amp; Won, 2018). More recently, machine-learning techniques have been turned toward regime detection itself (Raja Lope Ahmad et al., 2026; Ejike, 2026).</w:t>
      </w:r>
    </w:p>
    <w:p>
      <w:pPr>
        <w:spacing w:before="0" w:after="0" w:line="240" w:lineRule="auto"/>
      </w:pPr>
      <w:r>
        <w:rPr>
          <w:rFonts w:ascii="Times New Roman" w:hAnsi="Times New Roman"/>
          <w:b w:val="0"/>
          <w:i/>
          <w:sz w:val="24"/>
        </w:rPr>
        <w:t xml:space="preserve">2.2.3 Problem Impact. </w:t>
      </w:r>
      <w:r>
        <w:rPr>
          <w:rFonts w:ascii="Times New Roman" w:hAnsi="Times New Roman"/>
          <w:b w:val="0"/>
          <w:i w:val="0"/>
          <w:sz w:val="24"/>
        </w:rPr>
        <w:t>Underestimated tail risk contributed to catastrophic losses during the 2008 financial crisis, the 2020 COVID-19 crash, and the 2022 energy price shock. Improved volatility models enable more reliable Value-at-Risk estimates, better hedging strategies for energy-dependent firms, and more precise option pricing — serving both academic understanding and practical risk mitigation.</w:t>
      </w:r>
    </w:p>
    <w:p>
      <w:pPr>
        <w:spacing w:before="0" w:after="0" w:line="240" w:lineRule="auto"/>
      </w:pPr>
      <w:r>
        <w:rPr>
          <w:rFonts w:ascii="Times New Roman" w:hAnsi="Times New Roman"/>
          <w:b w:val="0"/>
          <w:i/>
          <w:sz w:val="24"/>
        </w:rPr>
        <w:t xml:space="preserve">2.2.4 Previous Analytical Efforts. </w:t>
      </w:r>
      <w:r>
        <w:rPr>
          <w:rFonts w:ascii="Times New Roman" w:hAnsi="Times New Roman"/>
          <w:b w:val="0"/>
          <w:i w:val="0"/>
          <w:sz w:val="24"/>
        </w:rPr>
        <w:t>Three streams of prior work motivate our design.</w:t>
      </w:r>
    </w:p>
    <w:p>
      <w:pPr>
        <w:spacing w:before="0" w:after="0" w:line="240" w:lineRule="auto"/>
      </w:pPr>
      <w:r>
        <w:rPr>
          <w:rFonts w:ascii="Times New Roman" w:hAnsi="Times New Roman"/>
          <w:b/>
          <w:i w:val="0"/>
          <w:sz w:val="24"/>
        </w:rPr>
        <w:t xml:space="preserve">Approach 1 — Markov-Switching GARCH. </w:t>
      </w:r>
      <w:r>
        <w:rPr>
          <w:rFonts w:ascii="Times New Roman" w:hAnsi="Times New Roman"/>
          <w:b w:val="0"/>
          <w:i w:val="0"/>
          <w:sz w:val="24"/>
        </w:rPr>
        <w:t>Haas et al. (2004) proposed a tractable MS-GARCH specification with independent conditional-variance equations per regime, showing substantial improvements in density forecasts on foreign-exchange data. Klaassen (2002) provided an alternative formulation that adjusts expected variance at regime transitions to mitigate path-dependence. Ardia et al. (2019) released the MSGARCH R package and confirmed regime-switching superiority for VaR forecasting on equity data. Hardy (2001) demonstrated similar gains for the S&amp;P 500. The merits are statistical grounding, interpretable regime probabilities, and strong VaR improvements; shortcomings are computational complexity, the need to pre-specify the number of states, and difficulty incorporating high-dimensional features.</w:t>
      </w:r>
    </w:p>
    <w:p>
      <w:pPr>
        <w:spacing w:before="0" w:after="0" w:line="240" w:lineRule="auto"/>
      </w:pPr>
      <w:r>
        <w:rPr>
          <w:rFonts w:ascii="Times New Roman" w:hAnsi="Times New Roman"/>
          <w:b/>
          <w:i w:val="0"/>
          <w:sz w:val="24"/>
        </w:rPr>
        <w:t xml:space="preserve">Approach 2 — Machine-Learning Volatility Prediction. </w:t>
      </w:r>
      <w:r>
        <w:rPr>
          <w:rFonts w:ascii="Times New Roman" w:hAnsi="Times New Roman"/>
          <w:b w:val="0"/>
          <w:i w:val="0"/>
          <w:sz w:val="24"/>
        </w:rPr>
        <w:t>Carr et al. (2020) used Ridge Regression, Random Forest, and feed-forward neural networks to predict realised variance and build a volatility index. Doering et al. (2017) applied CNNs to high-frequency data with strong but opaque performance. Recurrent architectures have been explored more extensively: Tino et al. (2001) combined Markov models with an Elman RNN for volatility trading; Xiong et al. (2016) integrated price data with Google Domestic Trends in an LSTM framework; and Kim and Won (2018) developed LSTM models integrated with multiple GARCH-type inputs. Merits include the ability to capture complex non-linear patterns and to incorporate diverse features. Shortcomings are the black-box problem, susceptibility to over-fitting on noisy financial series, and the absence of any regime-probability interpretation.</w:t>
      </w:r>
    </w:p>
    <w:p>
      <w:pPr>
        <w:spacing w:before="0" w:after="0" w:line="240" w:lineRule="auto"/>
      </w:pPr>
      <w:r>
        <w:rPr>
          <w:rFonts w:ascii="Times New Roman" w:hAnsi="Times New Roman"/>
          <w:b/>
          <w:i w:val="0"/>
          <w:sz w:val="24"/>
        </w:rPr>
        <w:t xml:space="preserve">Approach 3 — Machine-Learning Regime Detection. </w:t>
      </w:r>
      <w:r>
        <w:rPr>
          <w:rFonts w:ascii="Times New Roman" w:hAnsi="Times New Roman"/>
          <w:b w:val="0"/>
          <w:i w:val="0"/>
          <w:sz w:val="24"/>
        </w:rPr>
        <w:t>Raja Lope Ahmad et al. (2026) combined PCA and clustering with attention-based RNNs to detect market-instability shifts without pre-specifying the number of states. Ejike (2026) compared LDA, SVMs, and feed-forward networks for regime classification, finding that nonlinear classifiers offered improved accuracy. The merits are data-driven discovery of regimes from high-dimensional features without parametric assumptions; the shortcomings are ex-post regime labels, large training-sample requirements, and the absence of an explicit transition-probability framework.</w:t>
      </w:r>
    </w:p>
    <w:p>
      <w:pPr>
        <w:spacing w:before="0" w:after="0" w:line="240" w:lineRule="auto"/>
      </w:pPr>
      <w:r>
        <w:rPr>
          <w:rFonts w:ascii="Times New Roman" w:hAnsi="Times New Roman"/>
          <w:b w:val="0"/>
          <w:i w:val="0"/>
          <w:sz w:val="24"/>
        </w:rPr>
        <w:t>Our project sits across these three streams: GJR-GARCH provides a single-regime baseline; MS-GARCH supplies the regime-switching lens; and the LSTM-with-attention, Transformer, and XGBoost models contribute machine-learning perspectives that natively ingest exogenous features.</w:t>
      </w:r>
    </w:p>
    <w:p>
      <w:pPr>
        <w:spacing w:before="0" w:after="0" w:line="240" w:lineRule="auto"/>
      </w:pPr>
      <w:r>
        <w:rPr>
          <w:rFonts w:ascii="Times New Roman" w:hAnsi="Times New Roman"/>
          <w:b/>
          <w:i w:val="0"/>
          <w:sz w:val="24"/>
        </w:rPr>
        <w:t>3. Data Summary</w:t>
      </w:r>
    </w:p>
    <w:p>
      <w:pPr>
        <w:spacing w:before="0" w:after="0" w:line="240" w:lineRule="auto"/>
      </w:pPr>
      <w:r>
        <w:rPr>
          <w:rFonts w:ascii="Times New Roman" w:hAnsi="Times New Roman"/>
          <w:b w:val="0"/>
          <w:i w:val="0"/>
          <w:sz w:val="24"/>
        </w:rPr>
        <w:t>We use closing-price series for SPY (SPDR S&amp;P 500 ETF Trust) downloaded from Yahoo Finance, together with four auxiliary series (OIL = WTI crude futures CL=F, GOLD = SPDR Gold Shares GLD, DXY = U.S. dollar index, and VIX) used to construct exogenous features. The full sample spans 1 January 2004 through 29 April 2026. Log returns rₜ = ln(Pₜ/Pₜ₋₁) are scaled by 100 (so a 1% move equals 1.0). All exogenous and target features are lagged by one period to prevent contemporaneous leakage and a one-period embargo is enforced at every split boundary. The feature engineering produces two configurations per cell:</w:t>
      </w:r>
    </w:p>
    <w:p>
      <w:pPr>
        <w:pStyle w:val="ListBullet"/>
        <w:spacing w:before="0" w:after="0" w:line="240" w:lineRule="auto"/>
        <w:ind w:left="360"/>
      </w:pPr>
      <w:r>
        <w:rPr>
          <w:rFonts w:ascii="Times New Roman" w:hAnsi="Times New Roman"/>
          <w:b/>
          <w:sz w:val="24"/>
        </w:rPr>
        <w:t xml:space="preserve">no_exog (7 features): </w:t>
      </w:r>
      <w:r>
        <w:rPr>
          <w:rFonts w:ascii="Times New Roman" w:hAnsi="Times New Roman"/>
          <w:sz w:val="24"/>
        </w:rPr>
        <w:t>lagged log return rₜ₋₁, lagged squared return rₜ₋₁², asymmetric negative-shock term rₜ₋₁²·𝟙{rₜ₋₁&lt;0}, and 5/10/22-day rolling realized-volatility windows.</w:t>
      </w:r>
    </w:p>
    <w:p>
      <w:pPr>
        <w:pStyle w:val="ListBullet"/>
        <w:spacing w:before="0" w:after="0" w:line="240" w:lineRule="auto"/>
        <w:ind w:left="360"/>
      </w:pPr>
      <w:r>
        <w:rPr>
          <w:rFonts w:ascii="Times New Roman" w:hAnsi="Times New Roman"/>
          <w:b/>
          <w:sz w:val="24"/>
        </w:rPr>
        <w:t xml:space="preserve">with_exog (13 features): </w:t>
      </w:r>
      <w:r>
        <w:rPr>
          <w:rFonts w:ascii="Times New Roman" w:hAnsi="Times New Roman"/>
          <w:sz w:val="24"/>
        </w:rPr>
        <w:t>all of the above, plus lagged OIL, GOLD and DXY log returns and the log-VIX level and first difference (a 13-feature panel).</w:t>
      </w:r>
    </w:p>
    <w:p>
      <w:pPr>
        <w:spacing w:before="0" w:after="0" w:line="240" w:lineRule="auto"/>
      </w:pPr>
      <w:r>
        <w:rPr>
          <w:rFonts w:ascii="Times New Roman" w:hAnsi="Times New Roman"/>
          <w:b w:val="0"/>
          <w:i w:val="0"/>
          <w:sz w:val="24"/>
        </w:rPr>
        <w:t>Splits follow a single, pre-registered manifest (data/splits/manifest.yaml) so every model trains and forecasts on identical rows. Train, validation, and test sample sizes are reported in Table 1. Returns are stationary at all conventional levels (ADF p-values &lt; 1e-13; KPSS does not reject); prices are I(1). Squared residuals from the best ARMA fit show overwhelming Ljung–Box rejection (p &lt; 1e-7 at lag 10), confirming conditional heteroskedasticity and motivating GARCH-type variance modelling.</w:t>
      </w:r>
    </w:p>
    <w:p>
      <w:pPr>
        <w:spacing w:before="0" w:after="0" w:line="240" w:lineRule="auto"/>
      </w:pPr>
    </w:p>
    <w:p>
      <w:pPr>
        <w:spacing w:before="0" w:after="0" w:line="240" w:lineRule="auto"/>
        <w:jc w:val="center"/>
      </w:pPr>
      <w:r>
        <w:rPr>
          <w:rFonts w:ascii="Times New Roman" w:hAnsi="Times New Roman"/>
          <w:b w:val="0"/>
          <w:i/>
          <w:sz w:val="24"/>
        </w:rPr>
        <w:t>Table 1. Sample sizes and time spans (SPY daily).</w:t>
      </w:r>
    </w:p>
    <w:tbl>
      <w:tblPr>
        <w:tblStyle w:val="LightGrid-Accent1"/>
        <w:tblW w:type="auto" w:w="0"/>
        <w:tblLayout w:type="autofit"/>
        <w:tblLook w:firstColumn="1" w:firstRow="1" w:lastColumn="0" w:lastRow="0" w:noHBand="0" w:noVBand="1" w:val="04A0"/>
      </w:tblPr>
      <w:tblGrid>
        <w:gridCol w:w="2340"/>
        <w:gridCol w:w="2340"/>
        <w:gridCol w:w="2340"/>
        <w:gridCol w:w="2340"/>
      </w:tblGrid>
      <w:tr>
        <w:tc>
          <w:tcPr>
            <w:tcW w:type="dxa" w:w="2340"/>
          </w:tcPr>
          <w:p>
            <w:pPr>
              <w:spacing w:before="0" w:after="0" w:line="240" w:lineRule="auto"/>
              <w:jc w:val="left"/>
            </w:pPr>
            <w:r>
              <w:rPr>
                <w:rFonts w:ascii="Times New Roman" w:hAnsi="Times New Roman"/>
                <w:b/>
                <w:sz w:val="24"/>
              </w:rPr>
              <w:t>Split</w:t>
            </w:r>
          </w:p>
        </w:tc>
        <w:tc>
          <w:tcPr>
            <w:tcW w:type="dxa" w:w="2340"/>
          </w:tcPr>
          <w:p>
            <w:pPr>
              <w:spacing w:before="0" w:after="0" w:line="240" w:lineRule="auto"/>
              <w:jc w:val="center"/>
            </w:pPr>
            <w:r>
              <w:rPr>
                <w:rFonts w:ascii="Times New Roman" w:hAnsi="Times New Roman"/>
                <w:b/>
                <w:sz w:val="24"/>
              </w:rPr>
              <w:t>Start</w:t>
            </w:r>
          </w:p>
        </w:tc>
        <w:tc>
          <w:tcPr>
            <w:tcW w:type="dxa" w:w="2340"/>
          </w:tcPr>
          <w:p>
            <w:pPr>
              <w:spacing w:before="0" w:after="0" w:line="240" w:lineRule="auto"/>
              <w:jc w:val="center"/>
            </w:pPr>
            <w:r>
              <w:rPr>
                <w:rFonts w:ascii="Times New Roman" w:hAnsi="Times New Roman"/>
                <w:b/>
                <w:sz w:val="24"/>
              </w:rPr>
              <w:t>End</w:t>
            </w:r>
          </w:p>
        </w:tc>
        <w:tc>
          <w:tcPr>
            <w:tcW w:type="dxa" w:w="2340"/>
          </w:tcPr>
          <w:p>
            <w:pPr>
              <w:spacing w:before="0" w:after="0" w:line="240" w:lineRule="auto"/>
              <w:jc w:val="center"/>
            </w:pPr>
            <w:r>
              <w:rPr>
                <w:rFonts w:ascii="Times New Roman" w:hAnsi="Times New Roman"/>
                <w:b/>
                <w:sz w:val="24"/>
              </w:rPr>
              <w:t>Observations</w:t>
            </w:r>
          </w:p>
        </w:tc>
      </w:tr>
      <w:tr>
        <w:tc>
          <w:tcPr>
            <w:tcW w:type="dxa" w:w="2340"/>
          </w:tcPr>
          <w:p>
            <w:pPr>
              <w:spacing w:before="0" w:after="0" w:line="240" w:lineRule="auto"/>
              <w:jc w:val="left"/>
            </w:pPr>
            <w:r>
              <w:rPr>
                <w:rFonts w:ascii="Times New Roman" w:hAnsi="Times New Roman"/>
                <w:b w:val="0"/>
                <w:sz w:val="24"/>
              </w:rPr>
              <w:t>Train</w:t>
            </w:r>
          </w:p>
        </w:tc>
        <w:tc>
          <w:tcPr>
            <w:tcW w:type="dxa" w:w="2340"/>
          </w:tcPr>
          <w:p>
            <w:pPr>
              <w:spacing w:before="0" w:after="0" w:line="240" w:lineRule="auto"/>
              <w:jc w:val="center"/>
            </w:pPr>
            <w:r>
              <w:rPr>
                <w:rFonts w:ascii="Times New Roman" w:hAnsi="Times New Roman"/>
                <w:b w:val="0"/>
                <w:sz w:val="24"/>
              </w:rPr>
              <w:t>2004-02-06</w:t>
            </w:r>
          </w:p>
        </w:tc>
        <w:tc>
          <w:tcPr>
            <w:tcW w:type="dxa" w:w="2340"/>
          </w:tcPr>
          <w:p>
            <w:pPr>
              <w:spacing w:before="0" w:after="0" w:line="240" w:lineRule="auto"/>
              <w:jc w:val="center"/>
            </w:pPr>
            <w:r>
              <w:rPr>
                <w:rFonts w:ascii="Times New Roman" w:hAnsi="Times New Roman"/>
                <w:b w:val="0"/>
                <w:sz w:val="24"/>
              </w:rPr>
              <w:t>2021-12-31</w:t>
            </w:r>
          </w:p>
        </w:tc>
        <w:tc>
          <w:tcPr>
            <w:tcW w:type="dxa" w:w="2340"/>
          </w:tcPr>
          <w:p>
            <w:pPr>
              <w:spacing w:before="0" w:after="0" w:line="240" w:lineRule="auto"/>
              <w:jc w:val="center"/>
            </w:pPr>
            <w:r>
              <w:rPr>
                <w:rFonts w:ascii="Times New Roman" w:hAnsi="Times New Roman"/>
                <w:b w:val="0"/>
                <w:sz w:val="24"/>
              </w:rPr>
              <w:t>4,472</w:t>
            </w:r>
          </w:p>
        </w:tc>
      </w:tr>
      <w:tr>
        <w:tc>
          <w:tcPr>
            <w:tcW w:type="dxa" w:w="2340"/>
          </w:tcPr>
          <w:p>
            <w:pPr>
              <w:spacing w:before="0" w:after="0" w:line="240" w:lineRule="auto"/>
              <w:jc w:val="left"/>
            </w:pPr>
            <w:r>
              <w:rPr>
                <w:rFonts w:ascii="Times New Roman" w:hAnsi="Times New Roman"/>
                <w:b w:val="0"/>
                <w:sz w:val="24"/>
              </w:rPr>
              <w:t>Validation</w:t>
            </w:r>
          </w:p>
        </w:tc>
        <w:tc>
          <w:tcPr>
            <w:tcW w:type="dxa" w:w="2340"/>
          </w:tcPr>
          <w:p>
            <w:pPr>
              <w:spacing w:before="0" w:after="0" w:line="240" w:lineRule="auto"/>
              <w:jc w:val="center"/>
            </w:pPr>
            <w:r>
              <w:rPr>
                <w:rFonts w:ascii="Times New Roman" w:hAnsi="Times New Roman"/>
                <w:b w:val="0"/>
                <w:sz w:val="24"/>
              </w:rPr>
              <w:t>2022-01-03</w:t>
            </w:r>
          </w:p>
        </w:tc>
        <w:tc>
          <w:tcPr>
            <w:tcW w:type="dxa" w:w="2340"/>
          </w:tcPr>
          <w:p>
            <w:pPr>
              <w:spacing w:before="0" w:after="0" w:line="240" w:lineRule="auto"/>
              <w:jc w:val="center"/>
            </w:pPr>
            <w:r>
              <w:rPr>
                <w:rFonts w:ascii="Times New Roman" w:hAnsi="Times New Roman"/>
                <w:b w:val="0"/>
                <w:sz w:val="24"/>
              </w:rPr>
              <w:t>2023-12-29</w:t>
            </w:r>
          </w:p>
        </w:tc>
        <w:tc>
          <w:tcPr>
            <w:tcW w:type="dxa" w:w="2340"/>
          </w:tcPr>
          <w:p>
            <w:pPr>
              <w:spacing w:before="0" w:after="0" w:line="240" w:lineRule="auto"/>
              <w:jc w:val="center"/>
            </w:pPr>
            <w:r>
              <w:rPr>
                <w:rFonts w:ascii="Times New Roman" w:hAnsi="Times New Roman"/>
                <w:b w:val="0"/>
                <w:sz w:val="24"/>
              </w:rPr>
              <w:t>501</w:t>
            </w:r>
          </w:p>
        </w:tc>
      </w:tr>
      <w:tr>
        <w:tc>
          <w:tcPr>
            <w:tcW w:type="dxa" w:w="2340"/>
          </w:tcPr>
          <w:p>
            <w:pPr>
              <w:spacing w:before="0" w:after="0" w:line="240" w:lineRule="auto"/>
              <w:jc w:val="left"/>
            </w:pPr>
            <w:r>
              <w:rPr>
                <w:rFonts w:ascii="Times New Roman" w:hAnsi="Times New Roman"/>
                <w:b w:val="0"/>
                <w:sz w:val="24"/>
              </w:rPr>
              <w:t>Test</w:t>
            </w:r>
          </w:p>
        </w:tc>
        <w:tc>
          <w:tcPr>
            <w:tcW w:type="dxa" w:w="2340"/>
          </w:tcPr>
          <w:p>
            <w:pPr>
              <w:spacing w:before="0" w:after="0" w:line="240" w:lineRule="auto"/>
              <w:jc w:val="center"/>
            </w:pPr>
            <w:r>
              <w:rPr>
                <w:rFonts w:ascii="Times New Roman" w:hAnsi="Times New Roman"/>
                <w:b w:val="0"/>
                <w:sz w:val="24"/>
              </w:rPr>
              <w:t>2024-01-02</w:t>
            </w:r>
          </w:p>
        </w:tc>
        <w:tc>
          <w:tcPr>
            <w:tcW w:type="dxa" w:w="2340"/>
          </w:tcPr>
          <w:p>
            <w:pPr>
              <w:spacing w:before="0" w:after="0" w:line="240" w:lineRule="auto"/>
              <w:jc w:val="center"/>
            </w:pPr>
            <w:r>
              <w:rPr>
                <w:rFonts w:ascii="Times New Roman" w:hAnsi="Times New Roman"/>
                <w:b w:val="0"/>
                <w:sz w:val="24"/>
              </w:rPr>
              <w:t>2026-04-29</w:t>
            </w:r>
          </w:p>
        </w:tc>
        <w:tc>
          <w:tcPr>
            <w:tcW w:type="dxa" w:w="2340"/>
          </w:tcPr>
          <w:p>
            <w:pPr>
              <w:spacing w:before="0" w:after="0" w:line="240" w:lineRule="auto"/>
              <w:jc w:val="center"/>
            </w:pPr>
            <w:r>
              <w:rPr>
                <w:rFonts w:ascii="Times New Roman" w:hAnsi="Times New Roman"/>
                <w:b w:val="0"/>
                <w:sz w:val="24"/>
              </w:rPr>
              <w:t>583</w:t>
            </w:r>
          </w:p>
        </w:tc>
      </w:tr>
      <w:tr>
        <w:tc>
          <w:tcPr>
            <w:tcW w:type="dxa" w:w="2340"/>
          </w:tcPr>
          <w:p>
            <w:pPr>
              <w:spacing w:before="0" w:after="0" w:line="240" w:lineRule="auto"/>
              <w:jc w:val="left"/>
            </w:pPr>
            <w:r>
              <w:rPr>
                <w:rFonts w:ascii="Times New Roman" w:hAnsi="Times New Roman"/>
                <w:b w:val="0"/>
                <w:sz w:val="24"/>
              </w:rPr>
              <w:t>Total</w:t>
            </w:r>
          </w:p>
        </w:tc>
        <w:tc>
          <w:tcPr>
            <w:tcW w:type="dxa" w:w="2340"/>
          </w:tcPr>
          <w:p>
            <w:pPr>
              <w:spacing w:before="0" w:after="0" w:line="240" w:lineRule="auto"/>
              <w:jc w:val="center"/>
            </w:pPr>
            <w:r>
              <w:rPr>
                <w:rFonts w:ascii="Times New Roman" w:hAnsi="Times New Roman"/>
                <w:b w:val="0"/>
                <w:sz w:val="24"/>
              </w:rPr>
              <w:t>2004-02-06</w:t>
            </w:r>
          </w:p>
        </w:tc>
        <w:tc>
          <w:tcPr>
            <w:tcW w:type="dxa" w:w="2340"/>
          </w:tcPr>
          <w:p>
            <w:pPr>
              <w:spacing w:before="0" w:after="0" w:line="240" w:lineRule="auto"/>
              <w:jc w:val="center"/>
            </w:pPr>
            <w:r>
              <w:rPr>
                <w:rFonts w:ascii="Times New Roman" w:hAnsi="Times New Roman"/>
                <w:b w:val="0"/>
                <w:sz w:val="24"/>
              </w:rPr>
              <w:t>2026-04-29</w:t>
            </w:r>
          </w:p>
        </w:tc>
        <w:tc>
          <w:tcPr>
            <w:tcW w:type="dxa" w:w="2340"/>
          </w:tcPr>
          <w:p>
            <w:pPr>
              <w:spacing w:before="0" w:after="0" w:line="240" w:lineRule="auto"/>
              <w:jc w:val="center"/>
            </w:pPr>
            <w:r>
              <w:rPr>
                <w:rFonts w:ascii="Times New Roman" w:hAnsi="Times New Roman"/>
                <w:b w:val="0"/>
                <w:sz w:val="24"/>
              </w:rPr>
              <w:t>5,556</w:t>
            </w:r>
          </w:p>
        </w:tc>
      </w:tr>
    </w:tbl>
    <w:p>
      <w:pPr>
        <w:spacing w:before="0" w:after="0" w:line="240" w:lineRule="auto"/>
      </w:pPr>
    </w:p>
    <w:p>
      <w:pPr>
        <w:spacing w:before="0" w:after="0" w:line="240" w:lineRule="auto"/>
        <w:jc w:val="center"/>
      </w:pPr>
      <w:r>
        <w:rPr>
          <w:rFonts w:ascii="Times New Roman" w:hAnsi="Times New Roman"/>
          <w:b w:val="0"/>
          <w:i/>
          <w:sz w:val="24"/>
        </w:rPr>
        <w:t>Table 2. Descriptive statistics of SPY daily log returns (×100). Computed over the full Yahoo Finance history (2000-01-03 to 2026-04-29) for context; model fitting and evaluation are restricted to the manifest window in Table 1.</w:t>
      </w:r>
    </w:p>
    <w:tbl>
      <w:tblPr>
        <w:tblStyle w:val="LightGrid-Accent1"/>
        <w:tblW w:type="auto" w:w="0"/>
        <w:tblLayout w:type="autofit"/>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pPr>
              <w:spacing w:before="0" w:after="0" w:line="240" w:lineRule="auto"/>
              <w:jc w:val="left"/>
            </w:pPr>
            <w:r>
              <w:rPr>
                <w:rFonts w:ascii="Times New Roman" w:hAnsi="Times New Roman"/>
                <w:b/>
                <w:sz w:val="24"/>
              </w:rPr>
              <w:t>Series</w:t>
            </w:r>
          </w:p>
        </w:tc>
        <w:tc>
          <w:tcPr>
            <w:tcW w:type="dxa" w:w="1040"/>
          </w:tcPr>
          <w:p>
            <w:pPr>
              <w:spacing w:before="0" w:after="0" w:line="240" w:lineRule="auto"/>
              <w:jc w:val="center"/>
            </w:pPr>
            <w:r>
              <w:rPr>
                <w:rFonts w:ascii="Times New Roman" w:hAnsi="Times New Roman"/>
                <w:b/>
                <w:sz w:val="24"/>
              </w:rPr>
              <w:t>N</w:t>
            </w:r>
          </w:p>
        </w:tc>
        <w:tc>
          <w:tcPr>
            <w:tcW w:type="dxa" w:w="1040"/>
          </w:tcPr>
          <w:p>
            <w:pPr>
              <w:spacing w:before="0" w:after="0" w:line="240" w:lineRule="auto"/>
              <w:jc w:val="center"/>
            </w:pPr>
            <w:r>
              <w:rPr>
                <w:rFonts w:ascii="Times New Roman" w:hAnsi="Times New Roman"/>
                <w:b/>
                <w:sz w:val="24"/>
              </w:rPr>
              <w:t>Mean</w:t>
            </w:r>
          </w:p>
        </w:tc>
        <w:tc>
          <w:tcPr>
            <w:tcW w:type="dxa" w:w="1040"/>
          </w:tcPr>
          <w:p>
            <w:pPr>
              <w:spacing w:before="0" w:after="0" w:line="240" w:lineRule="auto"/>
              <w:jc w:val="center"/>
            </w:pPr>
            <w:r>
              <w:rPr>
                <w:rFonts w:ascii="Times New Roman" w:hAnsi="Times New Roman"/>
                <w:b/>
                <w:sz w:val="24"/>
              </w:rPr>
              <w:t>Median</w:t>
            </w:r>
          </w:p>
        </w:tc>
        <w:tc>
          <w:tcPr>
            <w:tcW w:type="dxa" w:w="1040"/>
          </w:tcPr>
          <w:p>
            <w:pPr>
              <w:spacing w:before="0" w:after="0" w:line="240" w:lineRule="auto"/>
              <w:jc w:val="center"/>
            </w:pPr>
            <w:r>
              <w:rPr>
                <w:rFonts w:ascii="Times New Roman" w:hAnsi="Times New Roman"/>
                <w:b/>
                <w:sz w:val="24"/>
              </w:rPr>
              <w:t>Std</w:t>
            </w:r>
          </w:p>
        </w:tc>
        <w:tc>
          <w:tcPr>
            <w:tcW w:type="dxa" w:w="1040"/>
          </w:tcPr>
          <w:p>
            <w:pPr>
              <w:spacing w:before="0" w:after="0" w:line="240" w:lineRule="auto"/>
              <w:jc w:val="center"/>
            </w:pPr>
            <w:r>
              <w:rPr>
                <w:rFonts w:ascii="Times New Roman" w:hAnsi="Times New Roman"/>
                <w:b/>
                <w:sz w:val="24"/>
              </w:rPr>
              <w:t>Min</w:t>
            </w:r>
          </w:p>
        </w:tc>
        <w:tc>
          <w:tcPr>
            <w:tcW w:type="dxa" w:w="1040"/>
          </w:tcPr>
          <w:p>
            <w:pPr>
              <w:spacing w:before="0" w:after="0" w:line="240" w:lineRule="auto"/>
              <w:jc w:val="center"/>
            </w:pPr>
            <w:r>
              <w:rPr>
                <w:rFonts w:ascii="Times New Roman" w:hAnsi="Times New Roman"/>
                <w:b/>
                <w:sz w:val="24"/>
              </w:rPr>
              <w:t>Max</w:t>
            </w:r>
          </w:p>
        </w:tc>
        <w:tc>
          <w:tcPr>
            <w:tcW w:type="dxa" w:w="1040"/>
          </w:tcPr>
          <w:p>
            <w:pPr>
              <w:spacing w:before="0" w:after="0" w:line="240" w:lineRule="auto"/>
              <w:jc w:val="center"/>
            </w:pPr>
            <w:r>
              <w:rPr>
                <w:rFonts w:ascii="Times New Roman" w:hAnsi="Times New Roman"/>
                <w:b/>
                <w:sz w:val="24"/>
              </w:rPr>
              <w:t>Skew</w:t>
            </w:r>
          </w:p>
        </w:tc>
        <w:tc>
          <w:tcPr>
            <w:tcW w:type="dxa" w:w="1040"/>
          </w:tcPr>
          <w:p>
            <w:pPr>
              <w:spacing w:before="0" w:after="0" w:line="240" w:lineRule="auto"/>
              <w:jc w:val="center"/>
            </w:pPr>
            <w:r>
              <w:rPr>
                <w:rFonts w:ascii="Times New Roman" w:hAnsi="Times New Roman"/>
                <w:b/>
                <w:sz w:val="24"/>
              </w:rPr>
              <w:t>ExKurt</w:t>
            </w:r>
          </w:p>
        </w:tc>
      </w:tr>
      <w:tr>
        <w:tc>
          <w:tcPr>
            <w:tcW w:type="dxa" w:w="1040"/>
          </w:tcPr>
          <w:p>
            <w:pPr>
              <w:spacing w:before="0" w:after="0" w:line="240" w:lineRule="auto"/>
              <w:jc w:val="left"/>
            </w:pPr>
            <w:r>
              <w:rPr>
                <w:rFonts w:ascii="Times New Roman" w:hAnsi="Times New Roman"/>
                <w:b w:val="0"/>
                <w:sz w:val="24"/>
              </w:rPr>
              <w:t>SPY ret</w:t>
            </w:r>
          </w:p>
        </w:tc>
        <w:tc>
          <w:tcPr>
            <w:tcW w:type="dxa" w:w="1040"/>
          </w:tcPr>
          <w:p>
            <w:pPr>
              <w:spacing w:before="0" w:after="0" w:line="240" w:lineRule="auto"/>
              <w:jc w:val="center"/>
            </w:pPr>
            <w:r>
              <w:rPr>
                <w:rFonts w:ascii="Times New Roman" w:hAnsi="Times New Roman"/>
                <w:b w:val="0"/>
                <w:sz w:val="24"/>
              </w:rPr>
              <w:t>6,537</w:t>
            </w:r>
          </w:p>
        </w:tc>
        <w:tc>
          <w:tcPr>
            <w:tcW w:type="dxa" w:w="1040"/>
          </w:tcPr>
          <w:p>
            <w:pPr>
              <w:spacing w:before="0" w:after="0" w:line="240" w:lineRule="auto"/>
              <w:jc w:val="center"/>
            </w:pPr>
            <w:r>
              <w:rPr>
                <w:rFonts w:ascii="Times New Roman" w:hAnsi="Times New Roman"/>
                <w:b w:val="0"/>
                <w:sz w:val="24"/>
              </w:rPr>
              <w:t>0.031</w:t>
            </w:r>
          </w:p>
        </w:tc>
        <w:tc>
          <w:tcPr>
            <w:tcW w:type="dxa" w:w="1040"/>
          </w:tcPr>
          <w:p>
            <w:pPr>
              <w:spacing w:before="0" w:after="0" w:line="240" w:lineRule="auto"/>
              <w:jc w:val="center"/>
            </w:pPr>
            <w:r>
              <w:rPr>
                <w:rFonts w:ascii="Times New Roman" w:hAnsi="Times New Roman"/>
                <w:b w:val="0"/>
                <w:sz w:val="24"/>
              </w:rPr>
              <w:t>0.069</w:t>
            </w:r>
          </w:p>
        </w:tc>
        <w:tc>
          <w:tcPr>
            <w:tcW w:type="dxa" w:w="1040"/>
          </w:tcPr>
          <w:p>
            <w:pPr>
              <w:spacing w:before="0" w:after="0" w:line="240" w:lineRule="auto"/>
              <w:jc w:val="center"/>
            </w:pPr>
            <w:r>
              <w:rPr>
                <w:rFonts w:ascii="Times New Roman" w:hAnsi="Times New Roman"/>
                <w:b w:val="0"/>
                <w:sz w:val="24"/>
              </w:rPr>
              <w:t>1.222</w:t>
            </w:r>
          </w:p>
        </w:tc>
        <w:tc>
          <w:tcPr>
            <w:tcW w:type="dxa" w:w="1040"/>
          </w:tcPr>
          <w:p>
            <w:pPr>
              <w:spacing w:before="0" w:after="0" w:line="240" w:lineRule="auto"/>
              <w:jc w:val="center"/>
            </w:pPr>
            <w:r>
              <w:rPr>
                <w:rFonts w:ascii="Times New Roman" w:hAnsi="Times New Roman"/>
                <w:b w:val="0"/>
                <w:sz w:val="24"/>
              </w:rPr>
              <w:t>−11.589</w:t>
            </w:r>
          </w:p>
        </w:tc>
        <w:tc>
          <w:tcPr>
            <w:tcW w:type="dxa" w:w="1040"/>
          </w:tcPr>
          <w:p>
            <w:pPr>
              <w:spacing w:before="0" w:after="0" w:line="240" w:lineRule="auto"/>
              <w:jc w:val="center"/>
            </w:pPr>
            <w:r>
              <w:rPr>
                <w:rFonts w:ascii="Times New Roman" w:hAnsi="Times New Roman"/>
                <w:b w:val="0"/>
                <w:sz w:val="24"/>
              </w:rPr>
              <w:t>13.558</w:t>
            </w:r>
          </w:p>
        </w:tc>
        <w:tc>
          <w:tcPr>
            <w:tcW w:type="dxa" w:w="1040"/>
          </w:tcPr>
          <w:p>
            <w:pPr>
              <w:spacing w:before="0" w:after="0" w:line="240" w:lineRule="auto"/>
              <w:jc w:val="center"/>
            </w:pPr>
            <w:r>
              <w:rPr>
                <w:rFonts w:ascii="Times New Roman" w:hAnsi="Times New Roman"/>
                <w:b w:val="0"/>
                <w:sz w:val="24"/>
              </w:rPr>
              <w:t>−0.21</w:t>
            </w:r>
          </w:p>
        </w:tc>
        <w:tc>
          <w:tcPr>
            <w:tcW w:type="dxa" w:w="1040"/>
          </w:tcPr>
          <w:p>
            <w:pPr>
              <w:spacing w:before="0" w:after="0" w:line="240" w:lineRule="auto"/>
              <w:jc w:val="center"/>
            </w:pPr>
            <w:r>
              <w:rPr>
                <w:rFonts w:ascii="Times New Roman" w:hAnsi="Times New Roman"/>
                <w:b w:val="0"/>
                <w:sz w:val="24"/>
              </w:rPr>
              <w:t>11.53</w:t>
            </w:r>
          </w:p>
        </w:tc>
      </w:tr>
    </w:tbl>
    <w:p>
      <w:pPr>
        <w:spacing w:before="0" w:after="0" w:line="240" w:lineRule="auto"/>
      </w:pPr>
    </w:p>
    <w:p>
      <w:pPr>
        <w:spacing w:before="0" w:after="0" w:line="240" w:lineRule="auto"/>
        <w:jc w:val="center"/>
      </w:pPr>
      <w:r>
        <w:rPr>
          <w:rFonts w:ascii="Times New Roman" w:hAnsi="Times New Roman"/>
          <w:b w:val="0"/>
          <w:i/>
          <w:sz w:val="24"/>
        </w:rPr>
        <w:t>Table 3. Stationarity tests on SPY (full sample).</w:t>
      </w:r>
    </w:p>
    <w:tbl>
      <w:tblPr>
        <w:tblStyle w:val="LightGrid-Accent1"/>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tcPr>
          <w:p>
            <w:pPr>
              <w:spacing w:before="0" w:after="0" w:line="240" w:lineRule="auto"/>
              <w:jc w:val="left"/>
            </w:pPr>
            <w:r>
              <w:rPr>
                <w:rFonts w:ascii="Times New Roman" w:hAnsi="Times New Roman"/>
                <w:b/>
                <w:sz w:val="24"/>
              </w:rPr>
              <w:t>Series</w:t>
            </w:r>
          </w:p>
        </w:tc>
        <w:tc>
          <w:tcPr>
            <w:tcW w:type="dxa" w:w="1560"/>
          </w:tcPr>
          <w:p>
            <w:pPr>
              <w:spacing w:before="0" w:after="0" w:line="240" w:lineRule="auto"/>
              <w:jc w:val="center"/>
            </w:pPr>
            <w:r>
              <w:rPr>
                <w:rFonts w:ascii="Times New Roman" w:hAnsi="Times New Roman"/>
                <w:b/>
                <w:sz w:val="24"/>
              </w:rPr>
              <w:t>ADF stat</w:t>
            </w:r>
          </w:p>
        </w:tc>
        <w:tc>
          <w:tcPr>
            <w:tcW w:type="dxa" w:w="1560"/>
          </w:tcPr>
          <w:p>
            <w:pPr>
              <w:spacing w:before="0" w:after="0" w:line="240" w:lineRule="auto"/>
              <w:jc w:val="center"/>
            </w:pPr>
            <w:r>
              <w:rPr>
                <w:rFonts w:ascii="Times New Roman" w:hAnsi="Times New Roman"/>
                <w:b/>
                <w:sz w:val="24"/>
              </w:rPr>
              <w:t>ADF p</w:t>
            </w:r>
          </w:p>
        </w:tc>
        <w:tc>
          <w:tcPr>
            <w:tcW w:type="dxa" w:w="1560"/>
          </w:tcPr>
          <w:p>
            <w:pPr>
              <w:spacing w:before="0" w:after="0" w:line="240" w:lineRule="auto"/>
              <w:jc w:val="center"/>
            </w:pPr>
            <w:r>
              <w:rPr>
                <w:rFonts w:ascii="Times New Roman" w:hAnsi="Times New Roman"/>
                <w:b/>
                <w:sz w:val="24"/>
              </w:rPr>
              <w:t>KPSS stat</w:t>
            </w:r>
          </w:p>
        </w:tc>
        <w:tc>
          <w:tcPr>
            <w:tcW w:type="dxa" w:w="1560"/>
          </w:tcPr>
          <w:p>
            <w:pPr>
              <w:spacing w:before="0" w:after="0" w:line="240" w:lineRule="auto"/>
              <w:jc w:val="center"/>
            </w:pPr>
            <w:r>
              <w:rPr>
                <w:rFonts w:ascii="Times New Roman" w:hAnsi="Times New Roman"/>
                <w:b/>
                <w:sz w:val="24"/>
              </w:rPr>
              <w:t>KPSS p</w:t>
            </w:r>
          </w:p>
        </w:tc>
        <w:tc>
          <w:tcPr>
            <w:tcW w:type="dxa" w:w="1560"/>
          </w:tcPr>
          <w:p>
            <w:pPr>
              <w:spacing w:before="0" w:after="0" w:line="240" w:lineRule="auto"/>
              <w:jc w:val="center"/>
            </w:pPr>
            <w:r>
              <w:rPr>
                <w:rFonts w:ascii="Times New Roman" w:hAnsi="Times New Roman"/>
                <w:b/>
                <w:sz w:val="24"/>
              </w:rPr>
              <w:t>Conclusion</w:t>
            </w:r>
          </w:p>
        </w:tc>
      </w:tr>
      <w:tr>
        <w:tc>
          <w:tcPr>
            <w:tcW w:type="dxa" w:w="1560"/>
          </w:tcPr>
          <w:p>
            <w:pPr>
              <w:spacing w:before="0" w:after="0" w:line="240" w:lineRule="auto"/>
              <w:jc w:val="left"/>
            </w:pPr>
            <w:r>
              <w:rPr>
                <w:rFonts w:ascii="Times New Roman" w:hAnsi="Times New Roman"/>
                <w:b w:val="0"/>
                <w:sz w:val="24"/>
              </w:rPr>
              <w:t>SPY returns</w:t>
            </w:r>
          </w:p>
        </w:tc>
        <w:tc>
          <w:tcPr>
            <w:tcW w:type="dxa" w:w="1560"/>
          </w:tcPr>
          <w:p>
            <w:pPr>
              <w:spacing w:before="0" w:after="0" w:line="240" w:lineRule="auto"/>
              <w:jc w:val="center"/>
            </w:pPr>
            <w:r>
              <w:rPr>
                <w:rFonts w:ascii="Times New Roman" w:hAnsi="Times New Roman"/>
                <w:b w:val="0"/>
                <w:sz w:val="24"/>
              </w:rPr>
              <w:t>−20.22</w:t>
            </w:r>
          </w:p>
        </w:tc>
        <w:tc>
          <w:tcPr>
            <w:tcW w:type="dxa" w:w="1560"/>
          </w:tcPr>
          <w:p>
            <w:pPr>
              <w:spacing w:before="0" w:after="0" w:line="240" w:lineRule="auto"/>
              <w:jc w:val="center"/>
            </w:pPr>
            <w:r>
              <w:rPr>
                <w:rFonts w:ascii="Times New Roman" w:hAnsi="Times New Roman"/>
                <w:b w:val="0"/>
                <w:sz w:val="24"/>
              </w:rPr>
              <w:t>&lt;1e-13</w:t>
            </w:r>
          </w:p>
        </w:tc>
        <w:tc>
          <w:tcPr>
            <w:tcW w:type="dxa" w:w="1560"/>
          </w:tcPr>
          <w:p>
            <w:pPr>
              <w:spacing w:before="0" w:after="0" w:line="240" w:lineRule="auto"/>
              <w:jc w:val="center"/>
            </w:pPr>
            <w:r>
              <w:rPr>
                <w:rFonts w:ascii="Times New Roman" w:hAnsi="Times New Roman"/>
                <w:b w:val="0"/>
                <w:sz w:val="24"/>
              </w:rPr>
              <w:t>0.43</w:t>
            </w:r>
          </w:p>
        </w:tc>
        <w:tc>
          <w:tcPr>
            <w:tcW w:type="dxa" w:w="1560"/>
          </w:tcPr>
          <w:p>
            <w:pPr>
              <w:spacing w:before="0" w:after="0" w:line="240" w:lineRule="auto"/>
              <w:jc w:val="center"/>
            </w:pPr>
            <w:r>
              <w:rPr>
                <w:rFonts w:ascii="Times New Roman" w:hAnsi="Times New Roman"/>
                <w:b w:val="0"/>
                <w:sz w:val="24"/>
              </w:rPr>
              <w:t>0.066</w:t>
            </w:r>
          </w:p>
        </w:tc>
        <w:tc>
          <w:tcPr>
            <w:tcW w:type="dxa" w:w="1560"/>
          </w:tcPr>
          <w:p>
            <w:pPr>
              <w:spacing w:before="0" w:after="0" w:line="240" w:lineRule="auto"/>
              <w:jc w:val="center"/>
            </w:pPr>
            <w:r>
              <w:rPr>
                <w:rFonts w:ascii="Times New Roman" w:hAnsi="Times New Roman"/>
                <w:b w:val="0"/>
                <w:sz w:val="24"/>
              </w:rPr>
              <w:t>Stationary</w:t>
            </w:r>
          </w:p>
        </w:tc>
      </w:tr>
      <w:tr>
        <w:tc>
          <w:tcPr>
            <w:tcW w:type="dxa" w:w="1560"/>
          </w:tcPr>
          <w:p>
            <w:pPr>
              <w:spacing w:before="0" w:after="0" w:line="240" w:lineRule="auto"/>
              <w:jc w:val="left"/>
            </w:pPr>
            <w:r>
              <w:rPr>
                <w:rFonts w:ascii="Times New Roman" w:hAnsi="Times New Roman"/>
                <w:b w:val="0"/>
                <w:sz w:val="24"/>
              </w:rPr>
              <w:t>SPY prices</w:t>
            </w:r>
          </w:p>
        </w:tc>
        <w:tc>
          <w:tcPr>
            <w:tcW w:type="dxa" w:w="1560"/>
          </w:tcPr>
          <w:p>
            <w:pPr>
              <w:spacing w:before="0" w:after="0" w:line="240" w:lineRule="auto"/>
              <w:jc w:val="center"/>
            </w:pPr>
            <w:r>
              <w:rPr>
                <w:rFonts w:ascii="Times New Roman" w:hAnsi="Times New Roman"/>
                <w:b w:val="0"/>
                <w:sz w:val="24"/>
              </w:rPr>
              <w:t>+3.60</w:t>
            </w:r>
          </w:p>
        </w:tc>
        <w:tc>
          <w:tcPr>
            <w:tcW w:type="dxa" w:w="1560"/>
          </w:tcPr>
          <w:p>
            <w:pPr>
              <w:spacing w:before="0" w:after="0" w:line="240" w:lineRule="auto"/>
              <w:jc w:val="center"/>
            </w:pPr>
            <w:r>
              <w:rPr>
                <w:rFonts w:ascii="Times New Roman" w:hAnsi="Times New Roman"/>
                <w:b w:val="0"/>
                <w:sz w:val="24"/>
              </w:rPr>
              <w:t>1.000</w:t>
            </w:r>
          </w:p>
        </w:tc>
        <w:tc>
          <w:tcPr>
            <w:tcW w:type="dxa" w:w="1560"/>
          </w:tcPr>
          <w:p>
            <w:pPr>
              <w:spacing w:before="0" w:after="0" w:line="240" w:lineRule="auto"/>
              <w:jc w:val="center"/>
            </w:pPr>
            <w:r>
              <w:rPr>
                <w:rFonts w:ascii="Times New Roman" w:hAnsi="Times New Roman"/>
                <w:b w:val="0"/>
                <w:sz w:val="24"/>
              </w:rPr>
              <w:t>10.10</w:t>
            </w:r>
          </w:p>
        </w:tc>
        <w:tc>
          <w:tcPr>
            <w:tcW w:type="dxa" w:w="1560"/>
          </w:tcPr>
          <w:p>
            <w:pPr>
              <w:spacing w:before="0" w:after="0" w:line="240" w:lineRule="auto"/>
              <w:jc w:val="center"/>
            </w:pPr>
            <w:r>
              <w:rPr>
                <w:rFonts w:ascii="Times New Roman" w:hAnsi="Times New Roman"/>
                <w:b w:val="0"/>
                <w:sz w:val="24"/>
              </w:rPr>
              <w:t>&lt;0.01</w:t>
            </w:r>
          </w:p>
        </w:tc>
        <w:tc>
          <w:tcPr>
            <w:tcW w:type="dxa" w:w="1560"/>
          </w:tcPr>
          <w:p>
            <w:pPr>
              <w:spacing w:before="0" w:after="0" w:line="240" w:lineRule="auto"/>
              <w:jc w:val="center"/>
            </w:pPr>
            <w:r>
              <w:rPr>
                <w:rFonts w:ascii="Times New Roman" w:hAnsi="Times New Roman"/>
                <w:b w:val="0"/>
                <w:sz w:val="24"/>
              </w:rPr>
              <w:t>Non-stationary</w:t>
            </w:r>
          </w:p>
        </w:tc>
      </w:tr>
    </w:tbl>
    <w:p>
      <w:pPr>
        <w:spacing w:before="0" w:after="0" w:line="240" w:lineRule="auto"/>
      </w:pPr>
    </w:p>
    <w:p>
      <w:pPr>
        <w:spacing w:before="0" w:after="0"/>
        <w:jc w:val="center"/>
      </w:pPr>
      <w:r>
        <w:drawing>
          <wp:inline xmlns:a="http://schemas.openxmlformats.org/drawingml/2006/main" xmlns:pic="http://schemas.openxmlformats.org/drawingml/2006/picture">
            <wp:extent cx="5029200" cy="1647740"/>
            <wp:docPr id="1" name="Picture 1"/>
            <wp:cNvGraphicFramePr>
              <a:graphicFrameLocks noChangeAspect="1"/>
            </wp:cNvGraphicFramePr>
            <a:graphic>
              <a:graphicData uri="http://schemas.openxmlformats.org/drawingml/2006/picture">
                <pic:pic>
                  <pic:nvPicPr>
                    <pic:cNvPr id="0" name="fig1_prices.png"/>
                    <pic:cNvPicPr/>
                  </pic:nvPicPr>
                  <pic:blipFill>
                    <a:blip r:embed="rId9"/>
                    <a:stretch>
                      <a:fillRect/>
                    </a:stretch>
                  </pic:blipFill>
                  <pic:spPr>
                    <a:xfrm>
                      <a:off x="0" y="0"/>
                      <a:ext cx="5029200" cy="1647740"/>
                    </a:xfrm>
                    <a:prstGeom prst="rect"/>
                  </pic:spPr>
                </pic:pic>
              </a:graphicData>
            </a:graphic>
          </wp:inline>
        </w:drawing>
      </w:r>
    </w:p>
    <w:p>
      <w:pPr>
        <w:spacing w:before="0" w:after="0" w:line="240" w:lineRule="auto"/>
        <w:jc w:val="center"/>
      </w:pPr>
      <w:r>
        <w:rPr>
          <w:rFonts w:ascii="Times New Roman" w:hAnsi="Times New Roman"/>
          <w:b w:val="0"/>
          <w:i/>
          <w:sz w:val="24"/>
        </w:rPr>
        <w:t>Figure 1. SPY daily closing prices, 2004–2026. Shaded regions correspond to the GFC, COVID, and 2022 energy shock windows used for stress testing.</w:t>
      </w:r>
    </w:p>
    <w:p>
      <w:pPr>
        <w:spacing w:before="0" w:after="0" w:line="240" w:lineRule="auto"/>
      </w:pPr>
    </w:p>
    <w:p>
      <w:pPr>
        <w:spacing w:before="0" w:after="0"/>
        <w:jc w:val="center"/>
      </w:pPr>
      <w:r>
        <w:drawing>
          <wp:inline xmlns:a="http://schemas.openxmlformats.org/drawingml/2006/main" xmlns:pic="http://schemas.openxmlformats.org/drawingml/2006/picture">
            <wp:extent cx="5029200" cy="3505200"/>
            <wp:docPr id="2" name="Picture 2"/>
            <wp:cNvGraphicFramePr>
              <a:graphicFrameLocks noChangeAspect="1"/>
            </wp:cNvGraphicFramePr>
            <a:graphic>
              <a:graphicData uri="http://schemas.openxmlformats.org/drawingml/2006/picture">
                <pic:pic>
                  <pic:nvPicPr>
                    <pic:cNvPr id="0" name="fig7_SPY_OIL_returns_time_series.png"/>
                    <pic:cNvPicPr/>
                  </pic:nvPicPr>
                  <pic:blipFill>
                    <a:blip r:embed="rId10"/>
                    <a:stretch>
                      <a:fillRect/>
                    </a:stretch>
                  </pic:blipFill>
                  <pic:spPr>
                    <a:xfrm>
                      <a:off x="0" y="0"/>
                      <a:ext cx="5029200" cy="3505200"/>
                    </a:xfrm>
                    <a:prstGeom prst="rect"/>
                  </pic:spPr>
                </pic:pic>
              </a:graphicData>
            </a:graphic>
          </wp:inline>
        </w:drawing>
      </w:r>
    </w:p>
    <w:p>
      <w:pPr>
        <w:spacing w:before="0" w:after="0" w:line="240" w:lineRule="auto"/>
        <w:jc w:val="center"/>
      </w:pPr>
      <w:r>
        <w:rPr>
          <w:rFonts w:ascii="Times New Roman" w:hAnsi="Times New Roman"/>
          <w:b w:val="0"/>
          <w:i/>
          <w:sz w:val="24"/>
        </w:rPr>
        <w:t>Figure 2. SPY daily log returns. Visible volatility clustering motivates conditional-variance models.</w:t>
      </w:r>
    </w:p>
    <w:p>
      <w:pPr>
        <w:spacing w:before="0" w:after="0" w:line="240" w:lineRule="auto"/>
      </w:pPr>
    </w:p>
    <w:p>
      <w:pPr>
        <w:spacing w:before="0" w:after="0"/>
        <w:jc w:val="center"/>
      </w:pPr>
      <w:r>
        <w:drawing>
          <wp:inline xmlns:a="http://schemas.openxmlformats.org/drawingml/2006/main" xmlns:pic="http://schemas.openxmlformats.org/drawingml/2006/picture">
            <wp:extent cx="5029200" cy="1859536"/>
            <wp:docPr id="3" name="Picture 3"/>
            <wp:cNvGraphicFramePr>
              <a:graphicFrameLocks noChangeAspect="1"/>
            </wp:cNvGraphicFramePr>
            <a:graphic>
              <a:graphicData uri="http://schemas.openxmlformats.org/drawingml/2006/picture">
                <pic:pic>
                  <pic:nvPicPr>
                    <pic:cNvPr id="0" name="fig13_Squared_Residuals_ACF_PACF.png"/>
                    <pic:cNvPicPr/>
                  </pic:nvPicPr>
                  <pic:blipFill>
                    <a:blip r:embed="rId11"/>
                    <a:stretch>
                      <a:fillRect/>
                    </a:stretch>
                  </pic:blipFill>
                  <pic:spPr>
                    <a:xfrm>
                      <a:off x="0" y="0"/>
                      <a:ext cx="5029200" cy="1859536"/>
                    </a:xfrm>
                    <a:prstGeom prst="rect"/>
                  </pic:spPr>
                </pic:pic>
              </a:graphicData>
            </a:graphic>
          </wp:inline>
        </w:drawing>
      </w:r>
    </w:p>
    <w:p>
      <w:pPr>
        <w:spacing w:before="0" w:after="0" w:line="240" w:lineRule="auto"/>
        <w:jc w:val="center"/>
      </w:pPr>
      <w:r>
        <w:rPr>
          <w:rFonts w:ascii="Times New Roman" w:hAnsi="Times New Roman"/>
          <w:b w:val="0"/>
          <w:i/>
          <w:sz w:val="24"/>
        </w:rPr>
        <w:t>Figure 3. ACF and PACF of squared ARIMA residuals. Persistent positive autocorrelation in squared residuals confirms ARCH effects.</w:t>
      </w:r>
    </w:p>
    <w:p>
      <w:pPr>
        <w:spacing w:before="0" w:after="0" w:line="240" w:lineRule="auto"/>
      </w:pPr>
    </w:p>
    <w:p>
      <w:pPr>
        <w:spacing w:before="0" w:after="0"/>
        <w:jc w:val="center"/>
      </w:pPr>
      <w:r>
        <w:drawing>
          <wp:inline xmlns:a="http://schemas.openxmlformats.org/drawingml/2006/main" xmlns:pic="http://schemas.openxmlformats.org/drawingml/2006/picture">
            <wp:extent cx="5029200" cy="1782893"/>
            <wp:docPr id="4" name="Picture 4"/>
            <wp:cNvGraphicFramePr>
              <a:graphicFrameLocks noChangeAspect="1"/>
            </wp:cNvGraphicFramePr>
            <a:graphic>
              <a:graphicData uri="http://schemas.openxmlformats.org/drawingml/2006/picture">
                <pic:pic>
                  <pic:nvPicPr>
                    <pic:cNvPr id="0" name="news_impact_curve_all.png"/>
                    <pic:cNvPicPr/>
                  </pic:nvPicPr>
                  <pic:blipFill>
                    <a:blip r:embed="rId12"/>
                    <a:stretch>
                      <a:fillRect/>
                    </a:stretch>
                  </pic:blipFill>
                  <pic:spPr>
                    <a:xfrm>
                      <a:off x="0" y="0"/>
                      <a:ext cx="5029200" cy="1782893"/>
                    </a:xfrm>
                    <a:prstGeom prst="rect"/>
                  </pic:spPr>
                </pic:pic>
              </a:graphicData>
            </a:graphic>
          </wp:inline>
        </w:drawing>
      </w:r>
    </w:p>
    <w:p>
      <w:pPr>
        <w:spacing w:before="0" w:after="0" w:line="240" w:lineRule="auto"/>
        <w:jc w:val="center"/>
      </w:pPr>
      <w:r>
        <w:rPr>
          <w:rFonts w:ascii="Times New Roman" w:hAnsi="Times New Roman"/>
          <w:b w:val="0"/>
          <w:i/>
          <w:sz w:val="24"/>
        </w:rPr>
        <w:t>Figure 4. News-impact curves for SPY daily, plotting next-period conditional variance σ̂ₜ² against the previous-period shock εₜ₋₁ under three baselines (GARCH(1,1), GJR-GARCH(1,1,1), and EGARCH). The asymmetry of the GJR and EGARCH curves around εₜ₋₁=0 is the leverage effect: a negative shock raises future volatility more than a positive shock of the same magnitude. The slope discontinuity at zero in the GJR curve is statistically significant on SPY at every reasonable lag, which is why the GJR variance specification is preferred to symmetric GARCH(1,1) throughout the rest of this report (and is the specification carried inside each MS-GARCH regime).</w:t>
      </w:r>
    </w:p>
    <w:p>
      <w:pPr>
        <w:spacing w:before="0" w:after="0" w:line="240" w:lineRule="auto"/>
      </w:pPr>
    </w:p>
    <w:p>
      <w:pPr>
        <w:spacing w:before="0" w:after="0" w:line="240" w:lineRule="auto"/>
        <w:jc w:val="center"/>
      </w:pPr>
      <w:r>
        <w:rPr>
          <w:rFonts w:ascii="Times New Roman" w:hAnsi="Times New Roman"/>
          <w:b w:val="0"/>
          <w:i/>
          <w:sz w:val="24"/>
        </w:rPr>
        <w:t>Table 4. Ljung–Box tests for ARCH effects on SPY squared ARIMA residuals.</w:t>
      </w:r>
    </w:p>
    <w:tbl>
      <w:tblPr>
        <w:tblStyle w:val="LightGrid-Accent1"/>
        <w:tblW w:type="auto" w:w="0"/>
        <w:tblLayout w:type="autofit"/>
        <w:tblLook w:firstColumn="1" w:firstRow="1" w:lastColumn="0" w:lastRow="0" w:noHBand="0" w:noVBand="1" w:val="04A0"/>
      </w:tblPr>
      <w:tblGrid>
        <w:gridCol w:w="2340"/>
        <w:gridCol w:w="2340"/>
        <w:gridCol w:w="2340"/>
        <w:gridCol w:w="2340"/>
      </w:tblGrid>
      <w:tr>
        <w:tc>
          <w:tcPr>
            <w:tcW w:type="dxa" w:w="2340"/>
          </w:tcPr>
          <w:p>
            <w:pPr>
              <w:spacing w:before="0" w:after="0" w:line="240" w:lineRule="auto"/>
              <w:jc w:val="left"/>
            </w:pPr>
            <w:r>
              <w:rPr>
                <w:rFonts w:ascii="Times New Roman" w:hAnsi="Times New Roman"/>
                <w:b/>
                <w:sz w:val="24"/>
              </w:rPr>
              <w:t>Lag</w:t>
            </w:r>
          </w:p>
        </w:tc>
        <w:tc>
          <w:tcPr>
            <w:tcW w:type="dxa" w:w="2340"/>
          </w:tcPr>
          <w:p>
            <w:pPr>
              <w:spacing w:before="0" w:after="0" w:line="240" w:lineRule="auto"/>
              <w:jc w:val="center"/>
            </w:pPr>
            <w:r>
              <w:rPr>
                <w:rFonts w:ascii="Times New Roman" w:hAnsi="Times New Roman"/>
                <w:b/>
                <w:sz w:val="24"/>
              </w:rPr>
              <w:t>LB statistic</w:t>
            </w:r>
          </w:p>
        </w:tc>
        <w:tc>
          <w:tcPr>
            <w:tcW w:type="dxa" w:w="2340"/>
          </w:tcPr>
          <w:p>
            <w:pPr>
              <w:spacing w:before="0" w:after="0" w:line="240" w:lineRule="auto"/>
              <w:jc w:val="center"/>
            </w:pPr>
            <w:r>
              <w:rPr>
                <w:rFonts w:ascii="Times New Roman" w:hAnsi="Times New Roman"/>
                <w:b/>
                <w:sz w:val="24"/>
              </w:rPr>
              <w:t>p-value</w:t>
            </w:r>
          </w:p>
        </w:tc>
        <w:tc>
          <w:tcPr>
            <w:tcW w:type="dxa" w:w="2340"/>
          </w:tcPr>
          <w:p>
            <w:pPr>
              <w:spacing w:before="0" w:after="0" w:line="240" w:lineRule="auto"/>
              <w:jc w:val="center"/>
            </w:pPr>
            <w:r>
              <w:rPr>
                <w:rFonts w:ascii="Times New Roman" w:hAnsi="Times New Roman"/>
                <w:b/>
                <w:sz w:val="24"/>
              </w:rPr>
              <w:t>Significant</w:t>
            </w:r>
          </w:p>
        </w:tc>
      </w:tr>
      <w:tr>
        <w:tc>
          <w:tcPr>
            <w:tcW w:type="dxa" w:w="2340"/>
          </w:tcPr>
          <w:p>
            <w:pPr>
              <w:spacing w:before="0" w:after="0" w:line="240" w:lineRule="auto"/>
              <w:jc w:val="left"/>
            </w:pPr>
            <w:r>
              <w:rPr>
                <w:rFonts w:ascii="Times New Roman" w:hAnsi="Times New Roman"/>
                <w:b w:val="0"/>
                <w:sz w:val="24"/>
              </w:rPr>
              <w:t>10</w:t>
            </w:r>
          </w:p>
        </w:tc>
        <w:tc>
          <w:tcPr>
            <w:tcW w:type="dxa" w:w="2340"/>
          </w:tcPr>
          <w:p>
            <w:pPr>
              <w:spacing w:before="0" w:after="0" w:line="240" w:lineRule="auto"/>
              <w:jc w:val="center"/>
            </w:pPr>
            <w:r>
              <w:rPr>
                <w:rFonts w:ascii="Times New Roman" w:hAnsi="Times New Roman"/>
                <w:b w:val="0"/>
                <w:sz w:val="24"/>
              </w:rPr>
              <w:t>51.46</w:t>
            </w:r>
          </w:p>
        </w:tc>
        <w:tc>
          <w:tcPr>
            <w:tcW w:type="dxa" w:w="2340"/>
          </w:tcPr>
          <w:p>
            <w:pPr>
              <w:spacing w:before="0" w:after="0" w:line="240" w:lineRule="auto"/>
              <w:jc w:val="center"/>
            </w:pPr>
            <w:r>
              <w:rPr>
                <w:rFonts w:ascii="Times New Roman" w:hAnsi="Times New Roman"/>
                <w:b w:val="0"/>
                <w:sz w:val="24"/>
              </w:rPr>
              <w:t>1.4 × 10⁻⁷</w:t>
            </w:r>
          </w:p>
        </w:tc>
        <w:tc>
          <w:tcPr>
            <w:tcW w:type="dxa" w:w="2340"/>
          </w:tcPr>
          <w:p>
            <w:pPr>
              <w:spacing w:before="0" w:after="0" w:line="240" w:lineRule="auto"/>
              <w:jc w:val="center"/>
            </w:pPr>
            <w:r>
              <w:rPr>
                <w:rFonts w:ascii="Times New Roman" w:hAnsi="Times New Roman"/>
                <w:b w:val="0"/>
                <w:sz w:val="24"/>
              </w:rPr>
              <w:t>Yes</w:t>
            </w:r>
          </w:p>
        </w:tc>
      </w:tr>
      <w:tr>
        <w:tc>
          <w:tcPr>
            <w:tcW w:type="dxa" w:w="2340"/>
          </w:tcPr>
          <w:p>
            <w:pPr>
              <w:spacing w:before="0" w:after="0" w:line="240" w:lineRule="auto"/>
              <w:jc w:val="left"/>
            </w:pPr>
            <w:r>
              <w:rPr>
                <w:rFonts w:ascii="Times New Roman" w:hAnsi="Times New Roman"/>
                <w:b w:val="0"/>
                <w:sz w:val="24"/>
              </w:rPr>
              <w:t>20</w:t>
            </w:r>
          </w:p>
        </w:tc>
        <w:tc>
          <w:tcPr>
            <w:tcW w:type="dxa" w:w="2340"/>
          </w:tcPr>
          <w:p>
            <w:pPr>
              <w:spacing w:before="0" w:after="0" w:line="240" w:lineRule="auto"/>
              <w:jc w:val="center"/>
            </w:pPr>
            <w:r>
              <w:rPr>
                <w:rFonts w:ascii="Times New Roman" w:hAnsi="Times New Roman"/>
                <w:b w:val="0"/>
                <w:sz w:val="24"/>
              </w:rPr>
              <w:t>60.95</w:t>
            </w:r>
          </w:p>
        </w:tc>
        <w:tc>
          <w:tcPr>
            <w:tcW w:type="dxa" w:w="2340"/>
          </w:tcPr>
          <w:p>
            <w:pPr>
              <w:spacing w:before="0" w:after="0" w:line="240" w:lineRule="auto"/>
              <w:jc w:val="center"/>
            </w:pPr>
            <w:r>
              <w:rPr>
                <w:rFonts w:ascii="Times New Roman" w:hAnsi="Times New Roman"/>
                <w:b w:val="0"/>
                <w:sz w:val="24"/>
              </w:rPr>
              <w:t>5.1 × 10⁻⁶</w:t>
            </w:r>
          </w:p>
        </w:tc>
        <w:tc>
          <w:tcPr>
            <w:tcW w:type="dxa" w:w="2340"/>
          </w:tcPr>
          <w:p>
            <w:pPr>
              <w:spacing w:before="0" w:after="0" w:line="240" w:lineRule="auto"/>
              <w:jc w:val="center"/>
            </w:pPr>
            <w:r>
              <w:rPr>
                <w:rFonts w:ascii="Times New Roman" w:hAnsi="Times New Roman"/>
                <w:b w:val="0"/>
                <w:sz w:val="24"/>
              </w:rPr>
              <w:t>Yes</w:t>
            </w:r>
          </w:p>
        </w:tc>
      </w:tr>
      <w:tr>
        <w:tc>
          <w:tcPr>
            <w:tcW w:type="dxa" w:w="2340"/>
          </w:tcPr>
          <w:p>
            <w:pPr>
              <w:spacing w:before="0" w:after="0" w:line="240" w:lineRule="auto"/>
              <w:jc w:val="left"/>
            </w:pPr>
            <w:r>
              <w:rPr>
                <w:rFonts w:ascii="Times New Roman" w:hAnsi="Times New Roman"/>
                <w:b w:val="0"/>
                <w:sz w:val="24"/>
              </w:rPr>
              <w:t>30</w:t>
            </w:r>
          </w:p>
        </w:tc>
        <w:tc>
          <w:tcPr>
            <w:tcW w:type="dxa" w:w="2340"/>
          </w:tcPr>
          <w:p>
            <w:pPr>
              <w:spacing w:before="0" w:after="0" w:line="240" w:lineRule="auto"/>
              <w:jc w:val="center"/>
            </w:pPr>
            <w:r>
              <w:rPr>
                <w:rFonts w:ascii="Times New Roman" w:hAnsi="Times New Roman"/>
                <w:b w:val="0"/>
                <w:sz w:val="24"/>
              </w:rPr>
              <w:t>72.08</w:t>
            </w:r>
          </w:p>
        </w:tc>
        <w:tc>
          <w:tcPr>
            <w:tcW w:type="dxa" w:w="2340"/>
          </w:tcPr>
          <w:p>
            <w:pPr>
              <w:spacing w:before="0" w:after="0" w:line="240" w:lineRule="auto"/>
              <w:jc w:val="center"/>
            </w:pPr>
            <w:r>
              <w:rPr>
                <w:rFonts w:ascii="Times New Roman" w:hAnsi="Times New Roman"/>
                <w:b w:val="0"/>
                <w:sz w:val="24"/>
              </w:rPr>
              <w:t>2.6 × 10⁻⁵</w:t>
            </w:r>
          </w:p>
        </w:tc>
        <w:tc>
          <w:tcPr>
            <w:tcW w:type="dxa" w:w="2340"/>
          </w:tcPr>
          <w:p>
            <w:pPr>
              <w:spacing w:before="0" w:after="0" w:line="240" w:lineRule="auto"/>
              <w:jc w:val="center"/>
            </w:pPr>
            <w:r>
              <w:rPr>
                <w:rFonts w:ascii="Times New Roman" w:hAnsi="Times New Roman"/>
                <w:b w:val="0"/>
                <w:sz w:val="24"/>
              </w:rPr>
              <w:t>Yes</w:t>
            </w:r>
          </w:p>
        </w:tc>
      </w:tr>
    </w:tbl>
    <w:p>
      <w:pPr>
        <w:spacing w:before="0" w:after="0" w:line="240" w:lineRule="auto"/>
      </w:pPr>
      <w:r>
        <w:rPr>
          <w:rFonts w:ascii="Times New Roman" w:hAnsi="Times New Roman"/>
          <w:b/>
          <w:i w:val="0"/>
          <w:sz w:val="24"/>
        </w:rPr>
        <w:t>4. Analysis</w:t>
      </w:r>
    </w:p>
    <w:p>
      <w:pPr>
        <w:spacing w:before="0" w:after="0" w:line="240" w:lineRule="auto"/>
      </w:pPr>
      <w:r>
        <w:rPr>
          <w:rFonts w:ascii="Times New Roman" w:hAnsi="Times New Roman"/>
          <w:b w:val="0"/>
          <w:i/>
          <w:sz w:val="24"/>
        </w:rPr>
        <w:t>4.1 Methods</w:t>
      </w:r>
    </w:p>
    <w:p>
      <w:pPr>
        <w:spacing w:before="0" w:after="0" w:line="240" w:lineRule="auto"/>
      </w:pPr>
      <w:r>
        <w:rPr>
          <w:rFonts w:ascii="Times New Roman" w:hAnsi="Times New Roman"/>
          <w:b w:val="0"/>
          <w:i w:val="0"/>
          <w:sz w:val="24"/>
        </w:rPr>
        <w:t>Five model families are evaluated. Each model is fit independently for the no_exog and with_exog feature panels. Hyperparameters are tuned on the validation block; the chosen specification is then refit on the combined train+validation block and evaluated on the untouched test block using a one-step-ahead expanding-window protocol with periodic refitting. The forecast target for the GARCH-family models is the conditional variance σₜ²; the machine-learning models are trained directly on rₜ² (the squared return as a noisy realised-variance proxy). All models forecast the same variance proxy at the same dates and are scored with the same metrics, so cross-model comparisons are direct.</w:t>
      </w:r>
    </w:p>
    <w:p>
      <w:pPr>
        <w:spacing w:before="0" w:after="0" w:line="240" w:lineRule="auto"/>
      </w:pPr>
      <w:r>
        <w:rPr>
          <w:rFonts w:ascii="Times New Roman" w:hAnsi="Times New Roman"/>
          <w:b w:val="0"/>
          <w:i/>
          <w:sz w:val="24"/>
        </w:rPr>
        <w:t xml:space="preserve">4.1.1 GJR-GARCH(1,1,1). </w:t>
      </w:r>
      <w:r>
        <w:rPr>
          <w:rFonts w:ascii="Times New Roman" w:hAnsi="Times New Roman"/>
          <w:b w:val="0"/>
          <w:i w:val="0"/>
          <w:sz w:val="24"/>
        </w:rPr>
        <w:t>Implemented via the Python arch package. The conditional variance equation σₜ² = ω + α·εₜ₋₁² + γ·εₜ₋₁²·𝟙{εₜ₋₁&lt;0} + β·σₜ₋₁² (Glosten, Jagannathan &amp; Runkle, 1993) extends Bollerslev's GARCH(1,1) with an asymmetric leverage term γ that captures the well-known empirical fact that negative shocks to equity returns raise future volatility more than positive shocks of equal size. Innovations are modelled as Student-t to accommodate the heavy tails visible in Table 2. Estimation is by quasi-maximum likelihood. Exogenous features are entered through the mean equation (ARX terms).</w:t>
      </w:r>
    </w:p>
    <w:p>
      <w:pPr>
        <w:spacing w:before="0" w:after="0" w:line="240" w:lineRule="auto"/>
      </w:pPr>
      <w:r>
        <w:rPr>
          <w:rFonts w:ascii="Times New Roman" w:hAnsi="Times New Roman"/>
          <w:b w:val="0"/>
          <w:i/>
          <w:sz w:val="24"/>
        </w:rPr>
        <w:t xml:space="preserve">4.1.2 Markov-Switching GARCH. </w:t>
      </w:r>
      <w:r>
        <w:rPr>
          <w:rFonts w:ascii="Times New Roman" w:hAnsi="Times New Roman"/>
          <w:b w:val="0"/>
          <w:i w:val="0"/>
          <w:sz w:val="24"/>
        </w:rPr>
        <w:t>Implemented via the MSGARCH R package (Ardia et al., 2019) called from Python through rpy2. Following Haas et al. (2004) each of K hidden states (K ∈ {2,3}) carries an independent GARCH/GJR-GARCH variance recursion, and a stochastic transition matrix π governs movement between states. The integrated predictive density σ̂ₜ² = Σₖ Pr(Sₜ=k|Fₜ₋₁)·σ²ₖ,ₜ marginalises over the unobserved regime. Specifications are selected by validation QLIKE (with AIC/BIC as ties) over the grid K ∈ {2,3} × {sGARCH, gjrGARCH} × {norm, std}. The selected model on SPY daily is K=2, GJR variance, Student-t innovations.</w:t>
      </w:r>
    </w:p>
    <w:p>
      <w:pPr>
        <w:spacing w:before="0" w:after="0" w:line="240" w:lineRule="auto"/>
      </w:pPr>
      <w:r>
        <w:rPr>
          <w:rFonts w:ascii="Times New Roman" w:hAnsi="Times New Roman"/>
          <w:b w:val="0"/>
          <w:i/>
          <w:sz w:val="24"/>
        </w:rPr>
        <w:t xml:space="preserve">4.1.3 LSTM with Attention. </w:t>
      </w:r>
      <w:r>
        <w:rPr>
          <w:rFonts w:ascii="Times New Roman" w:hAnsi="Times New Roman"/>
          <w:b w:val="0"/>
          <w:i w:val="0"/>
          <w:sz w:val="24"/>
        </w:rPr>
        <w:t>Implemented in PyTorch. A unidirectional LSTM (1 layer, 16 hidden units, dropout 0.2) consumes the lagged feature panel over a rolling lookback window of L=10 (no_exog) or L=5 (with_exog). The hidden state sequence h₁,…,h_L is passed through a temporal soft-attention pooling layer with attention weights αₜ = softmax(vᵀ·tanh(W·hₜ)); the context vector c = Σ αₜhₜ feeds a single linear head that outputs σ̂ₜ². The model is trained with Adam (lr=10⁻³, batch=64, weight-decay 0) for at most 80 epochs with patience-10 early stopping on validation QLIKE. The attention layer is the principal motivation for this architecture: it allows the network to weight historical lags non-uniformly, mimicking the long-memory weighting implicit in FIGARCH-style specifications.</w:t>
      </w:r>
    </w:p>
    <w:p>
      <w:pPr>
        <w:spacing w:before="0" w:after="0" w:line="240" w:lineRule="auto"/>
      </w:pPr>
      <w:r>
        <w:rPr>
          <w:rFonts w:ascii="Times New Roman" w:hAnsi="Times New Roman"/>
          <w:b w:val="0"/>
          <w:i/>
          <w:sz w:val="24"/>
        </w:rPr>
        <w:t xml:space="preserve">4.1.4 Transformer Encoder. </w:t>
      </w:r>
      <w:r>
        <w:rPr>
          <w:rFonts w:ascii="Times New Roman" w:hAnsi="Times New Roman"/>
          <w:b w:val="0"/>
          <w:i w:val="0"/>
          <w:sz w:val="24"/>
        </w:rPr>
        <w:t>Implemented in PyTorch with a 1-layer encoder (d_model=32, 4 heads, feed-forward dim 64, dropout 0.1) and lookback L=22. The self-attention mechanism contrasts with the LSTM by being permutation-equivariant up to positional encoding, so it can in principle re-weight every pair of historical lags rather than summarising them through a single recurrent state. The encoder output is mean-pooled and passed through a linear head to predict σ̂ₜ². The same Adam regime as the LSTM is used; training runs for up to 30 epochs with patience 5.</w:t>
      </w:r>
    </w:p>
    <w:p>
      <w:pPr>
        <w:spacing w:before="0" w:after="0" w:line="240" w:lineRule="auto"/>
      </w:pPr>
      <w:r>
        <w:rPr>
          <w:rFonts w:ascii="Times New Roman" w:hAnsi="Times New Roman"/>
          <w:b w:val="0"/>
          <w:i/>
          <w:sz w:val="24"/>
        </w:rPr>
        <w:t xml:space="preserve">4.1.5 XGBoost. </w:t>
      </w:r>
      <w:r>
        <w:rPr>
          <w:rFonts w:ascii="Times New Roman" w:hAnsi="Times New Roman"/>
          <w:b w:val="0"/>
          <w:i w:val="0"/>
          <w:sz w:val="24"/>
        </w:rPr>
        <w:t>Implemented via the xgboost package. Gradient-boosted regression trees provide a non-parametric, non-recurrent baseline that contrasts with the other deep-learning entrants. Hyperparameters are tuned on validation: max_depth ∈ {2,3,4}, lr ∈ {0.05, 0.1}, n_estimators ∈ {50, 100, 200}, subsample = colsample_bytree = 0.6, min_child_weight ∈ {1, 5}. The XGBoost model is trained directly on the lagged feature vector at time t (no recurrent unrolling); its strength is variable selection and interaction discovery, but it cannot represent recurrence without explicit lag features.</w:t>
      </w:r>
    </w:p>
    <w:p>
      <w:pPr>
        <w:spacing w:before="0" w:after="0" w:line="240" w:lineRule="auto"/>
      </w:pPr>
      <w:r>
        <w:rPr>
          <w:rFonts w:ascii="Times New Roman" w:hAnsi="Times New Roman"/>
          <w:b w:val="0"/>
          <w:i w:val="0"/>
          <w:sz w:val="24"/>
        </w:rPr>
        <w:t>Table 5 collects the validated specifications that produced the headline results in §4.3. Each row records the configuration selected on the validation block — i.e. the specification that was then refit on train+val and rolled forward through the test block. Where the no_exog and with_exog winners differ, both are shown.</w:t>
      </w:r>
    </w:p>
    <w:p>
      <w:pPr>
        <w:spacing w:before="0" w:after="0" w:line="240" w:lineRule="auto"/>
      </w:pPr>
    </w:p>
    <w:p>
      <w:pPr>
        <w:spacing w:before="0" w:after="0" w:line="240" w:lineRule="auto"/>
        <w:jc w:val="center"/>
      </w:pPr>
      <w:r>
        <w:rPr>
          <w:rFonts w:ascii="Times New Roman" w:hAnsi="Times New Roman"/>
          <w:b w:val="0"/>
          <w:i/>
          <w:sz w:val="24"/>
        </w:rPr>
        <w:t>Table 5. Validated specifications carried into the test block, by model.</w:t>
      </w:r>
    </w:p>
    <w:tbl>
      <w:tblPr>
        <w:tblStyle w:val="LightGrid-Accent1"/>
        <w:tblW w:type="auto" w:w="0"/>
        <w:tblLayout w:type="autofit"/>
        <w:tblLook w:firstColumn="1" w:firstRow="1" w:lastColumn="0" w:lastRow="0" w:noHBand="0" w:noVBand="1" w:val="04A0"/>
      </w:tblPr>
      <w:tblGrid>
        <w:gridCol w:w="4680"/>
        <w:gridCol w:w="4680"/>
      </w:tblGrid>
      <w:tr>
        <w:tc>
          <w:tcPr>
            <w:tcW w:type="dxa" w:w="2016"/>
          </w:tcPr>
          <w:p>
            <w:pPr>
              <w:spacing w:before="0" w:after="0" w:line="240" w:lineRule="auto"/>
              <w:jc w:val="left"/>
            </w:pPr>
            <w:r>
              <w:rPr>
                <w:rFonts w:ascii="Times New Roman" w:hAnsi="Times New Roman"/>
                <w:b/>
                <w:sz w:val="24"/>
              </w:rPr>
              <w:t>Model</w:t>
            </w:r>
          </w:p>
        </w:tc>
        <w:tc>
          <w:tcPr>
            <w:tcW w:type="dxa" w:w="7200"/>
          </w:tcPr>
          <w:p>
            <w:pPr>
              <w:spacing w:before="0" w:after="0" w:line="240" w:lineRule="auto"/>
              <w:jc w:val="center"/>
            </w:pPr>
            <w:r>
              <w:rPr>
                <w:rFonts w:ascii="Times New Roman" w:hAnsi="Times New Roman"/>
                <w:b/>
                <w:sz w:val="24"/>
              </w:rPr>
              <w:t>Selected hyperparameters (no_exog / with_exog)</w:t>
            </w:r>
          </w:p>
        </w:tc>
      </w:tr>
      <w:tr>
        <w:tc>
          <w:tcPr>
            <w:tcW w:type="dxa" w:w="2016"/>
          </w:tcPr>
          <w:p>
            <w:pPr>
              <w:spacing w:before="0" w:after="0" w:line="240" w:lineRule="auto"/>
              <w:jc w:val="left"/>
            </w:pPr>
            <w:r>
              <w:rPr>
                <w:rFonts w:ascii="Times New Roman" w:hAnsi="Times New Roman"/>
                <w:b w:val="0"/>
                <w:sz w:val="24"/>
              </w:rPr>
              <w:t>GJR-GARCH</w:t>
            </w:r>
          </w:p>
        </w:tc>
        <w:tc>
          <w:tcPr>
            <w:tcW w:type="dxa" w:w="7200"/>
          </w:tcPr>
          <w:p>
            <w:pPr>
              <w:spacing w:before="0" w:after="0" w:line="240" w:lineRule="auto"/>
              <w:jc w:val="center"/>
            </w:pPr>
            <w:r>
              <w:rPr>
                <w:rFonts w:ascii="Times New Roman" w:hAnsi="Times New Roman"/>
                <w:b w:val="0"/>
                <w:sz w:val="24"/>
              </w:rPr>
              <w:t>p=1, o=1, q=1; Student-t innovations; mean equation = constant (no_exog) or constant + lagged exogenous returns (with_exog).</w:t>
            </w:r>
          </w:p>
        </w:tc>
      </w:tr>
      <w:tr>
        <w:tc>
          <w:tcPr>
            <w:tcW w:type="dxa" w:w="2016"/>
          </w:tcPr>
          <w:p>
            <w:pPr>
              <w:spacing w:before="0" w:after="0" w:line="240" w:lineRule="auto"/>
              <w:jc w:val="left"/>
            </w:pPr>
            <w:r>
              <w:rPr>
                <w:rFonts w:ascii="Times New Roman" w:hAnsi="Times New Roman"/>
                <w:b w:val="0"/>
                <w:sz w:val="24"/>
              </w:rPr>
              <w:t>MS-GARCH</w:t>
            </w:r>
          </w:p>
        </w:tc>
        <w:tc>
          <w:tcPr>
            <w:tcW w:type="dxa" w:w="7200"/>
          </w:tcPr>
          <w:p>
            <w:pPr>
              <w:spacing w:before="0" w:after="0" w:line="240" w:lineRule="auto"/>
              <w:jc w:val="center"/>
            </w:pPr>
            <w:r>
              <w:rPr>
                <w:rFonts w:ascii="Times New Roman" w:hAnsi="Times New Roman"/>
                <w:b w:val="0"/>
                <w:sz w:val="24"/>
              </w:rPr>
              <w:t>K=2 regimes; gjrGARCH variance per regime; Student-t innovations; transition matrix estimated by maximum likelihood. Selected over the grid K∈{2,3} × {sGARCH,gjrGARCH} × {norm,std}.</w:t>
            </w:r>
          </w:p>
        </w:tc>
      </w:tr>
      <w:tr>
        <w:tc>
          <w:tcPr>
            <w:tcW w:type="dxa" w:w="2016"/>
          </w:tcPr>
          <w:p>
            <w:pPr>
              <w:spacing w:before="0" w:after="0" w:line="240" w:lineRule="auto"/>
              <w:jc w:val="left"/>
            </w:pPr>
            <w:r>
              <w:rPr>
                <w:rFonts w:ascii="Times New Roman" w:hAnsi="Times New Roman"/>
                <w:b w:val="0"/>
                <w:sz w:val="24"/>
              </w:rPr>
              <w:t>LSTM-Attention</w:t>
            </w:r>
          </w:p>
        </w:tc>
        <w:tc>
          <w:tcPr>
            <w:tcW w:type="dxa" w:w="7200"/>
          </w:tcPr>
          <w:p>
            <w:pPr>
              <w:spacing w:before="0" w:after="0" w:line="240" w:lineRule="auto"/>
              <w:jc w:val="center"/>
            </w:pPr>
            <w:r>
              <w:rPr>
                <w:rFonts w:ascii="Times New Roman" w:hAnsi="Times New Roman"/>
                <w:b w:val="0"/>
                <w:sz w:val="24"/>
              </w:rPr>
              <w:t>lookback L=10 / 5; 1 LSTM layer, 16 hidden units; dropout 0.2; soft-attention pooling; Adam (lr=10⁻³, batch=64, weight-decay 0); ≤80 epochs, patience-10 early stopping on validation QLIKE.</w:t>
            </w:r>
          </w:p>
        </w:tc>
      </w:tr>
      <w:tr>
        <w:tc>
          <w:tcPr>
            <w:tcW w:type="dxa" w:w="2016"/>
          </w:tcPr>
          <w:p>
            <w:pPr>
              <w:spacing w:before="0" w:after="0" w:line="240" w:lineRule="auto"/>
              <w:jc w:val="left"/>
            </w:pPr>
            <w:r>
              <w:rPr>
                <w:rFonts w:ascii="Times New Roman" w:hAnsi="Times New Roman"/>
                <w:b w:val="0"/>
                <w:sz w:val="24"/>
              </w:rPr>
              <w:t>Transformer</w:t>
            </w:r>
          </w:p>
        </w:tc>
        <w:tc>
          <w:tcPr>
            <w:tcW w:type="dxa" w:w="7200"/>
          </w:tcPr>
          <w:p>
            <w:pPr>
              <w:spacing w:before="0" w:after="0" w:line="240" w:lineRule="auto"/>
              <w:jc w:val="center"/>
            </w:pPr>
            <w:r>
              <w:rPr>
                <w:rFonts w:ascii="Times New Roman" w:hAnsi="Times New Roman"/>
                <w:b w:val="0"/>
                <w:sz w:val="24"/>
              </w:rPr>
              <w:t>lookback L=22; d_model=32; 4 attention heads; 1 encoder layer; feed-forward dim 64; dropout 0.1; Adam (lr=10⁻³, batch=64); ≤30 epochs, patience-5 early stopping.</w:t>
            </w:r>
          </w:p>
        </w:tc>
      </w:tr>
      <w:tr>
        <w:tc>
          <w:tcPr>
            <w:tcW w:type="dxa" w:w="2016"/>
          </w:tcPr>
          <w:p>
            <w:pPr>
              <w:spacing w:before="0" w:after="0" w:line="240" w:lineRule="auto"/>
              <w:jc w:val="left"/>
            </w:pPr>
            <w:r>
              <w:rPr>
                <w:rFonts w:ascii="Times New Roman" w:hAnsi="Times New Roman"/>
                <w:b w:val="0"/>
                <w:sz w:val="24"/>
              </w:rPr>
              <w:t>XGBoost</w:t>
            </w:r>
          </w:p>
        </w:tc>
        <w:tc>
          <w:tcPr>
            <w:tcW w:type="dxa" w:w="7200"/>
          </w:tcPr>
          <w:p>
            <w:pPr>
              <w:spacing w:before="0" w:after="0" w:line="240" w:lineRule="auto"/>
              <w:jc w:val="center"/>
            </w:pPr>
            <w:r>
              <w:rPr>
                <w:rFonts w:ascii="Times New Roman" w:hAnsi="Times New Roman"/>
                <w:b w:val="0"/>
                <w:sz w:val="24"/>
              </w:rPr>
              <w:t>max_depth=2; lr=0.05 / 0.10; n_estimators=100 / 50; subsample=colsample_bytree=0.6; min_child_weight=5 / 1; reg_lambda=10.</w:t>
            </w:r>
          </w:p>
        </w:tc>
      </w:tr>
    </w:tbl>
    <w:p>
      <w:pPr>
        <w:spacing w:before="0" w:after="0" w:line="240" w:lineRule="auto"/>
      </w:pPr>
      <w:r>
        <w:rPr>
          <w:rFonts w:ascii="Times New Roman" w:hAnsi="Times New Roman"/>
          <w:b w:val="0"/>
          <w:i w:val="0"/>
          <w:sz w:val="24"/>
        </w:rPr>
        <w:t>Two patterns in Table 5 are worth flagging. First, every winning model on SPY daily is at the small end of its capacity range: GJR(1,1,1), K=2 regimes, 16 LSTM units, a single 1-layer Transformer encoder, max_depth=2 trees. This is consistent with the usual finance-time-series intuition that the signal-to-noise ratio in daily returns is low and aggressive over-parameterisation hurts. Second, the optimal LSTM lookback drops from 10 (no_exog) to 5 (with_exog): once the lagged log-VIX is in the feature set, the network needs less own-history to recover the volatility state, which we read as direct evidence that the VIX is doing useful summarisation work for the model.</w:t>
      </w:r>
    </w:p>
    <w:p>
      <w:pPr>
        <w:spacing w:before="0" w:after="0" w:line="240" w:lineRule="auto"/>
      </w:pPr>
      <w:r>
        <w:rPr>
          <w:rFonts w:ascii="Times New Roman" w:hAnsi="Times New Roman"/>
          <w:b w:val="0"/>
          <w:i/>
          <w:sz w:val="24"/>
        </w:rPr>
        <w:t>4.2 Validation and Evaluation Strategy</w:t>
      </w:r>
    </w:p>
    <w:p>
      <w:pPr>
        <w:spacing w:before="0" w:after="0" w:line="240" w:lineRule="auto"/>
      </w:pPr>
      <w:r>
        <w:rPr>
          <w:rFonts w:ascii="Times New Roman" w:hAnsi="Times New Roman"/>
          <w:b w:val="0"/>
          <w:i w:val="0"/>
          <w:sz w:val="24"/>
        </w:rPr>
        <w:t>Out-of-sample evaluation uses a one-step-ahead expanding-window design on the test block. For each test date t the model is conditioned on all data up to t-1, produces σ̂ₜ², and rolls forward. Refit cadence differs by computational cost: GJR-GARCH is fast enough to re-estimate every step (parameters re-fit daily); MS-GARCH, LSTM-with-attention, Transformer, and XGBoost are refit every 20 trading days, with one-step-ahead forecasts produced from the most recent fit on intervening days. The same data, the same expanding history, and the same scoring code are applied to every model so cross-model comparisons are direct. Forecasts are scored against the contemporaneous squared return rₜ² as a realised-variance proxy. Four classes of metric are reported:</w:t>
      </w:r>
    </w:p>
    <w:p>
      <w:pPr>
        <w:pStyle w:val="ListBullet"/>
        <w:spacing w:before="0" w:after="0" w:line="240" w:lineRule="auto"/>
        <w:ind w:left="360"/>
      </w:pPr>
      <w:r>
        <w:rPr>
          <w:rFonts w:ascii="Times New Roman" w:hAnsi="Times New Roman"/>
          <w:b/>
          <w:sz w:val="24"/>
        </w:rPr>
        <w:t xml:space="preserve">Point accuracy: </w:t>
      </w:r>
      <w:r>
        <w:rPr>
          <w:rFonts w:ascii="Times New Roman" w:hAnsi="Times New Roman"/>
          <w:sz w:val="24"/>
        </w:rPr>
        <w:t>RMSE and MAE of σ̂ₜ² against rₜ² (point accuracy).</w:t>
      </w:r>
    </w:p>
    <w:p>
      <w:pPr>
        <w:pStyle w:val="ListBullet"/>
        <w:spacing w:before="0" w:after="0" w:line="240" w:lineRule="auto"/>
        <w:ind w:left="360"/>
      </w:pPr>
      <w:r>
        <w:rPr>
          <w:rFonts w:ascii="Times New Roman" w:hAnsi="Times New Roman"/>
          <w:b/>
          <w:sz w:val="24"/>
        </w:rPr>
        <w:t xml:space="preserve">Distributional accuracy: </w:t>
      </w:r>
      <w:r>
        <w:rPr>
          <w:rFonts w:ascii="Times New Roman" w:hAnsi="Times New Roman"/>
          <w:sz w:val="24"/>
        </w:rPr>
        <w:t>QLIKE = E[log σ̂ₜ² + rₜ²/σ̂ₜ²], a robust loss that is insensitive to the realised-variance proxy noise (Patton, 2011) and penalises both over- and under-prediction asymmetrically — lower is better.</w:t>
      </w:r>
    </w:p>
    <w:p>
      <w:pPr>
        <w:pStyle w:val="ListBullet"/>
        <w:spacing w:before="0" w:after="0" w:line="240" w:lineRule="auto"/>
        <w:ind w:left="360"/>
      </w:pPr>
      <w:r>
        <w:rPr>
          <w:rFonts w:ascii="Times New Roman" w:hAnsi="Times New Roman"/>
          <w:b/>
          <w:sz w:val="24"/>
        </w:rPr>
        <w:t xml:space="preserve">Tail-risk calibration: </w:t>
      </w:r>
      <w:r>
        <w:rPr>
          <w:rFonts w:ascii="Times New Roman" w:hAnsi="Times New Roman"/>
          <w:sz w:val="24"/>
        </w:rPr>
        <w:t>1% and 5% Value-at-Risk exception rates. Under correct calibration, exceptions on the 583-day test block should be ≈5.83 and ≈29.15 respectively. We also compute Kupiec unconditional-coverage and Christoffersen conditional-coverage tests offline.</w:t>
      </w:r>
    </w:p>
    <w:p>
      <w:pPr>
        <w:pStyle w:val="ListBullet"/>
        <w:spacing w:before="0" w:after="0" w:line="240" w:lineRule="auto"/>
        <w:ind w:left="360"/>
      </w:pPr>
      <w:r>
        <w:rPr>
          <w:rFonts w:ascii="Times New Roman" w:hAnsi="Times New Roman"/>
          <w:b/>
          <w:sz w:val="24"/>
        </w:rPr>
        <w:t xml:space="preserve">Residual diagnostics: </w:t>
      </w:r>
      <w:r>
        <w:rPr>
          <w:rFonts w:ascii="Times New Roman" w:hAnsi="Times New Roman"/>
          <w:sz w:val="24"/>
        </w:rPr>
        <w:t>Standardised-residual diagnostics — Ljung–Box on z_t = (rₜ − μ̂)/σ̂ₜ and z_t² to confirm whitening, plus QQ plots against the assumed innovation distribution.</w:t>
      </w:r>
    </w:p>
    <w:p>
      <w:pPr>
        <w:spacing w:before="0" w:after="0" w:line="240" w:lineRule="auto"/>
      </w:pPr>
      <w:r>
        <w:rPr>
          <w:rFonts w:ascii="Times New Roman" w:hAnsi="Times New Roman"/>
          <w:b w:val="0"/>
          <w:i w:val="0"/>
          <w:sz w:val="24"/>
        </w:rPr>
        <w:t>Stress-period robustness is checked separately on five Random Forecast Period (RFP) windows — GFC (2007-07 to 2009-06), Oil Crash (2014-06 to 2016-02), COVID (2020-02 to 2020-12), Energy 2022 (2022-01 to 2023-06), and a Calm 2017–2019 control. Within each regime, five 60-day windows are sampled, the model is fit strictly on data prior to that window, and forecasts inside the window are scored.</w:t>
      </w:r>
    </w:p>
    <w:p>
      <w:pPr>
        <w:spacing w:before="0" w:after="0" w:line="240" w:lineRule="auto"/>
      </w:pPr>
      <w:r>
        <w:rPr>
          <w:rFonts w:ascii="Times New Roman" w:hAnsi="Times New Roman"/>
          <w:b w:val="0"/>
          <w:i/>
          <w:sz w:val="24"/>
        </w:rPr>
        <w:t>4.3 Results</w:t>
      </w:r>
    </w:p>
    <w:p>
      <w:pPr>
        <w:spacing w:before="0" w:after="0" w:line="240" w:lineRule="auto"/>
      </w:pPr>
      <w:r>
        <w:rPr>
          <w:rFonts w:ascii="Times New Roman" w:hAnsi="Times New Roman"/>
          <w:b w:val="0"/>
          <w:i w:val="0"/>
          <w:sz w:val="24"/>
        </w:rPr>
        <w:t>Table 6 reports test-block performance for SPY daily across the five models and two feature configurations. RMSE, MAE, and QLIKE are computed on σ̂ₜ² versus rₜ²; VaR exceptions are absolute counts over the 583-day test block (expected ≈ 5.83 and ≈ 29.15 at the 1% and 5% levels).</w:t>
      </w:r>
    </w:p>
    <w:p>
      <w:pPr>
        <w:spacing w:before="0" w:after="0" w:line="240" w:lineRule="auto"/>
      </w:pPr>
    </w:p>
    <w:p>
      <w:pPr>
        <w:spacing w:before="0" w:after="0" w:line="240" w:lineRule="auto"/>
        <w:jc w:val="center"/>
      </w:pPr>
      <w:r>
        <w:rPr>
          <w:rFonts w:ascii="Times New Roman" w:hAnsi="Times New Roman"/>
          <w:b w:val="0"/>
          <w:i/>
          <w:sz w:val="24"/>
        </w:rPr>
        <w:t>Table 6. SPY daily test-block results (583 days, expanding-window 1-step-ahead). Best per metric within each configuration block is shown in bold; the global best across both blocks is underlined by the discussion below. Variance is in pct² units; VaR exceptions are absolute counts (expected ≈5.83 at 1% and ≈29.15 at 5%).</w:t>
      </w:r>
    </w:p>
    <w:tbl>
      <w:tblPr>
        <w:tblStyle w:val="LightGrid-Accent1"/>
        <w:tblW w:type="auto" w:w="0"/>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before="0" w:after="0" w:line="240" w:lineRule="auto"/>
              <w:jc w:val="left"/>
            </w:pPr>
            <w:r>
              <w:rPr>
                <w:rFonts w:ascii="Times New Roman" w:hAnsi="Times New Roman"/>
                <w:b/>
                <w:sz w:val="24"/>
              </w:rPr>
              <w:t>Model</w:t>
            </w:r>
          </w:p>
        </w:tc>
        <w:tc>
          <w:tcPr>
            <w:tcW w:type="dxa" w:w="1337"/>
          </w:tcPr>
          <w:p>
            <w:pPr>
              <w:spacing w:before="0" w:after="0" w:line="240" w:lineRule="auto"/>
              <w:jc w:val="center"/>
            </w:pPr>
            <w:r>
              <w:rPr>
                <w:rFonts w:ascii="Times New Roman" w:hAnsi="Times New Roman"/>
                <w:b/>
                <w:sz w:val="24"/>
              </w:rPr>
              <w:t>Config</w:t>
            </w:r>
          </w:p>
        </w:tc>
        <w:tc>
          <w:tcPr>
            <w:tcW w:type="dxa" w:w="1337"/>
          </w:tcPr>
          <w:p>
            <w:pPr>
              <w:spacing w:before="0" w:after="0" w:line="240" w:lineRule="auto"/>
              <w:jc w:val="center"/>
            </w:pPr>
            <w:r>
              <w:rPr>
                <w:rFonts w:ascii="Times New Roman" w:hAnsi="Times New Roman"/>
                <w:b/>
                <w:sz w:val="24"/>
              </w:rPr>
              <w:t>RMSE</w:t>
            </w:r>
          </w:p>
        </w:tc>
        <w:tc>
          <w:tcPr>
            <w:tcW w:type="dxa" w:w="1337"/>
          </w:tcPr>
          <w:p>
            <w:pPr>
              <w:spacing w:before="0" w:after="0" w:line="240" w:lineRule="auto"/>
              <w:jc w:val="center"/>
            </w:pPr>
            <w:r>
              <w:rPr>
                <w:rFonts w:ascii="Times New Roman" w:hAnsi="Times New Roman"/>
                <w:b/>
                <w:sz w:val="24"/>
              </w:rPr>
              <w:t>MAE</w:t>
            </w:r>
          </w:p>
        </w:tc>
        <w:tc>
          <w:tcPr>
            <w:tcW w:type="dxa" w:w="1337"/>
          </w:tcPr>
          <w:p>
            <w:pPr>
              <w:spacing w:before="0" w:after="0" w:line="240" w:lineRule="auto"/>
              <w:jc w:val="center"/>
            </w:pPr>
            <w:r>
              <w:rPr>
                <w:rFonts w:ascii="Times New Roman" w:hAnsi="Times New Roman"/>
                <w:b/>
                <w:sz w:val="24"/>
              </w:rPr>
              <w:t>QLIKE</w:t>
            </w:r>
          </w:p>
        </w:tc>
        <w:tc>
          <w:tcPr>
            <w:tcW w:type="dxa" w:w="1337"/>
          </w:tcPr>
          <w:p>
            <w:pPr>
              <w:spacing w:before="0" w:after="0" w:line="240" w:lineRule="auto"/>
              <w:jc w:val="center"/>
            </w:pPr>
            <w:r>
              <w:rPr>
                <w:rFonts w:ascii="Times New Roman" w:hAnsi="Times New Roman"/>
                <w:b/>
                <w:sz w:val="24"/>
              </w:rPr>
              <w:t>VaR1% Exc</w:t>
            </w:r>
          </w:p>
        </w:tc>
        <w:tc>
          <w:tcPr>
            <w:tcW w:type="dxa" w:w="1337"/>
          </w:tcPr>
          <w:p>
            <w:pPr>
              <w:spacing w:before="0" w:after="0" w:line="240" w:lineRule="auto"/>
              <w:jc w:val="center"/>
            </w:pPr>
            <w:r>
              <w:rPr>
                <w:rFonts w:ascii="Times New Roman" w:hAnsi="Times New Roman"/>
                <w:b/>
                <w:sz w:val="24"/>
              </w:rPr>
              <w:t>VaR5% Exc</w:t>
            </w:r>
          </w:p>
        </w:tc>
      </w:tr>
      <w:tr>
        <w:tc>
          <w:tcPr>
            <w:tcW w:type="dxa" w:w="1337"/>
          </w:tcPr>
          <w:p>
            <w:pPr>
              <w:spacing w:before="0" w:after="0" w:line="240" w:lineRule="auto"/>
              <w:jc w:val="left"/>
            </w:pPr>
            <w:r>
              <w:rPr>
                <w:rFonts w:ascii="Times New Roman" w:hAnsi="Times New Roman"/>
                <w:b w:val="0"/>
                <w:sz w:val="24"/>
              </w:rPr>
              <w:t>GJR-GARCH(1,1)</w:t>
            </w:r>
          </w:p>
        </w:tc>
        <w:tc>
          <w:tcPr>
            <w:tcW w:type="dxa" w:w="1337"/>
          </w:tcPr>
          <w:p>
            <w:pPr>
              <w:spacing w:before="0" w:after="0" w:line="240" w:lineRule="auto"/>
              <w:jc w:val="center"/>
            </w:pPr>
            <w:r>
              <w:rPr>
                <w:rFonts w:ascii="Times New Roman" w:hAnsi="Times New Roman"/>
                <w:b w:val="0"/>
                <w:sz w:val="24"/>
              </w:rPr>
              <w:t>no_exog</w:t>
            </w:r>
          </w:p>
        </w:tc>
        <w:tc>
          <w:tcPr>
            <w:tcW w:type="dxa" w:w="1337"/>
          </w:tcPr>
          <w:p>
            <w:pPr>
              <w:spacing w:before="0" w:after="0" w:line="240" w:lineRule="auto"/>
              <w:jc w:val="center"/>
            </w:pPr>
            <w:r>
              <w:rPr>
                <w:rFonts w:ascii="Times New Roman" w:hAnsi="Times New Roman"/>
                <w:b w:val="0"/>
                <w:sz w:val="24"/>
              </w:rPr>
              <w:t>4.342</w:t>
            </w:r>
          </w:p>
        </w:tc>
        <w:tc>
          <w:tcPr>
            <w:tcW w:type="dxa" w:w="1337"/>
          </w:tcPr>
          <w:p>
            <w:pPr>
              <w:spacing w:before="0" w:after="0" w:line="240" w:lineRule="auto"/>
              <w:jc w:val="center"/>
            </w:pPr>
            <w:r>
              <w:rPr>
                <w:rFonts w:ascii="Times New Roman" w:hAnsi="Times New Roman"/>
                <w:b w:val="0"/>
                <w:sz w:val="24"/>
              </w:rPr>
              <w:t>1.129</w:t>
            </w:r>
          </w:p>
        </w:tc>
        <w:tc>
          <w:tcPr>
            <w:tcW w:type="dxa" w:w="1337"/>
          </w:tcPr>
          <w:p>
            <w:pPr>
              <w:spacing w:before="0" w:after="0" w:line="240" w:lineRule="auto"/>
              <w:jc w:val="center"/>
            </w:pPr>
            <w:r>
              <w:rPr>
                <w:rFonts w:ascii="Times New Roman" w:hAnsi="Times New Roman"/>
                <w:b/>
                <w:sz w:val="24"/>
              </w:rPr>
              <w:t>0.652</w:t>
            </w:r>
          </w:p>
        </w:tc>
        <w:tc>
          <w:tcPr>
            <w:tcW w:type="dxa" w:w="1337"/>
          </w:tcPr>
          <w:p>
            <w:pPr>
              <w:spacing w:before="0" w:after="0" w:line="240" w:lineRule="auto"/>
              <w:jc w:val="center"/>
            </w:pPr>
            <w:r>
              <w:rPr>
                <w:rFonts w:ascii="Times New Roman" w:hAnsi="Times New Roman"/>
                <w:b/>
                <w:sz w:val="24"/>
              </w:rPr>
              <w:t>11</w:t>
            </w:r>
          </w:p>
        </w:tc>
        <w:tc>
          <w:tcPr>
            <w:tcW w:type="dxa" w:w="1337"/>
          </w:tcPr>
          <w:p>
            <w:pPr>
              <w:spacing w:before="0" w:after="0" w:line="240" w:lineRule="auto"/>
              <w:jc w:val="center"/>
            </w:pPr>
            <w:r>
              <w:rPr>
                <w:rFonts w:ascii="Times New Roman" w:hAnsi="Times New Roman"/>
                <w:b/>
                <w:sz w:val="24"/>
              </w:rPr>
              <w:t>31</w:t>
            </w:r>
          </w:p>
        </w:tc>
      </w:tr>
      <w:tr>
        <w:tc>
          <w:tcPr>
            <w:tcW w:type="dxa" w:w="1337"/>
          </w:tcPr>
          <w:p>
            <w:pPr>
              <w:spacing w:before="0" w:after="0" w:line="240" w:lineRule="auto"/>
              <w:jc w:val="left"/>
            </w:pPr>
            <w:r>
              <w:rPr>
                <w:rFonts w:ascii="Times New Roman" w:hAnsi="Times New Roman"/>
                <w:b w:val="0"/>
                <w:sz w:val="24"/>
              </w:rPr>
              <w:t>MS-GARCH(K=2, GJR, t)</w:t>
            </w:r>
          </w:p>
        </w:tc>
        <w:tc>
          <w:tcPr>
            <w:tcW w:type="dxa" w:w="1337"/>
          </w:tcPr>
          <w:p>
            <w:pPr>
              <w:spacing w:before="0" w:after="0" w:line="240" w:lineRule="auto"/>
              <w:jc w:val="center"/>
            </w:pPr>
            <w:r>
              <w:rPr>
                <w:rFonts w:ascii="Times New Roman" w:hAnsi="Times New Roman"/>
                <w:b w:val="0"/>
                <w:sz w:val="24"/>
              </w:rPr>
              <w:t>no_exog</w:t>
            </w:r>
          </w:p>
        </w:tc>
        <w:tc>
          <w:tcPr>
            <w:tcW w:type="dxa" w:w="1337"/>
          </w:tcPr>
          <w:p>
            <w:pPr>
              <w:spacing w:before="0" w:after="0" w:line="240" w:lineRule="auto"/>
              <w:jc w:val="center"/>
            </w:pPr>
            <w:r>
              <w:rPr>
                <w:rFonts w:ascii="Times New Roman" w:hAnsi="Times New Roman"/>
                <w:b/>
                <w:sz w:val="24"/>
              </w:rPr>
              <w:t>4.307</w:t>
            </w:r>
          </w:p>
        </w:tc>
        <w:tc>
          <w:tcPr>
            <w:tcW w:type="dxa" w:w="1337"/>
          </w:tcPr>
          <w:p>
            <w:pPr>
              <w:spacing w:before="0" w:after="0" w:line="240" w:lineRule="auto"/>
              <w:jc w:val="center"/>
            </w:pPr>
            <w:r>
              <w:rPr>
                <w:rFonts w:ascii="Times New Roman" w:hAnsi="Times New Roman"/>
                <w:b w:val="0"/>
                <w:sz w:val="24"/>
              </w:rPr>
              <w:t>1.135</w:t>
            </w:r>
          </w:p>
        </w:tc>
        <w:tc>
          <w:tcPr>
            <w:tcW w:type="dxa" w:w="1337"/>
          </w:tcPr>
          <w:p>
            <w:pPr>
              <w:spacing w:before="0" w:after="0" w:line="240" w:lineRule="auto"/>
              <w:jc w:val="center"/>
            </w:pPr>
            <w:r>
              <w:rPr>
                <w:rFonts w:ascii="Times New Roman" w:hAnsi="Times New Roman"/>
                <w:b w:val="0"/>
                <w:sz w:val="24"/>
              </w:rPr>
              <w:t>0.671</w:t>
            </w:r>
          </w:p>
        </w:tc>
        <w:tc>
          <w:tcPr>
            <w:tcW w:type="dxa" w:w="1337"/>
          </w:tcPr>
          <w:p>
            <w:pPr>
              <w:spacing w:before="0" w:after="0" w:line="240" w:lineRule="auto"/>
              <w:jc w:val="center"/>
            </w:pPr>
            <w:r>
              <w:rPr>
                <w:rFonts w:ascii="Times New Roman" w:hAnsi="Times New Roman"/>
                <w:b w:val="0"/>
                <w:sz w:val="24"/>
              </w:rPr>
              <w:t>12</w:t>
            </w:r>
          </w:p>
        </w:tc>
        <w:tc>
          <w:tcPr>
            <w:tcW w:type="dxa" w:w="1337"/>
          </w:tcPr>
          <w:p>
            <w:pPr>
              <w:spacing w:before="0" w:after="0" w:line="240" w:lineRule="auto"/>
              <w:jc w:val="center"/>
            </w:pPr>
            <w:r>
              <w:rPr>
                <w:rFonts w:ascii="Times New Roman" w:hAnsi="Times New Roman"/>
                <w:b w:val="0"/>
                <w:sz w:val="24"/>
              </w:rPr>
              <w:t>32</w:t>
            </w:r>
          </w:p>
        </w:tc>
      </w:tr>
      <w:tr>
        <w:tc>
          <w:tcPr>
            <w:tcW w:type="dxa" w:w="1337"/>
          </w:tcPr>
          <w:p>
            <w:pPr>
              <w:spacing w:before="0" w:after="0" w:line="240" w:lineRule="auto"/>
              <w:jc w:val="left"/>
            </w:pPr>
            <w:r>
              <w:rPr>
                <w:rFonts w:ascii="Times New Roman" w:hAnsi="Times New Roman"/>
                <w:b w:val="0"/>
                <w:sz w:val="24"/>
              </w:rPr>
              <w:t>LSTM-Attention</w:t>
            </w:r>
          </w:p>
        </w:tc>
        <w:tc>
          <w:tcPr>
            <w:tcW w:type="dxa" w:w="1337"/>
          </w:tcPr>
          <w:p>
            <w:pPr>
              <w:spacing w:before="0" w:after="0" w:line="240" w:lineRule="auto"/>
              <w:jc w:val="center"/>
            </w:pPr>
            <w:r>
              <w:rPr>
                <w:rFonts w:ascii="Times New Roman" w:hAnsi="Times New Roman"/>
                <w:b w:val="0"/>
                <w:sz w:val="24"/>
              </w:rPr>
              <w:t>no_exog</w:t>
            </w:r>
          </w:p>
        </w:tc>
        <w:tc>
          <w:tcPr>
            <w:tcW w:type="dxa" w:w="1337"/>
          </w:tcPr>
          <w:p>
            <w:pPr>
              <w:spacing w:before="0" w:after="0" w:line="240" w:lineRule="auto"/>
              <w:jc w:val="center"/>
            </w:pPr>
            <w:r>
              <w:rPr>
                <w:rFonts w:ascii="Times New Roman" w:hAnsi="Times New Roman"/>
                <w:b w:val="0"/>
                <w:sz w:val="24"/>
              </w:rPr>
              <w:t>4.492</w:t>
            </w:r>
          </w:p>
        </w:tc>
        <w:tc>
          <w:tcPr>
            <w:tcW w:type="dxa" w:w="1337"/>
          </w:tcPr>
          <w:p>
            <w:pPr>
              <w:spacing w:before="0" w:after="0" w:line="240" w:lineRule="auto"/>
              <w:jc w:val="center"/>
            </w:pPr>
            <w:r>
              <w:rPr>
                <w:rFonts w:ascii="Times New Roman" w:hAnsi="Times New Roman"/>
                <w:b w:val="0"/>
                <w:sz w:val="24"/>
              </w:rPr>
              <w:t>1.156</w:t>
            </w:r>
          </w:p>
        </w:tc>
        <w:tc>
          <w:tcPr>
            <w:tcW w:type="dxa" w:w="1337"/>
          </w:tcPr>
          <w:p>
            <w:pPr>
              <w:spacing w:before="0" w:after="0" w:line="240" w:lineRule="auto"/>
              <w:jc w:val="center"/>
            </w:pPr>
            <w:r>
              <w:rPr>
                <w:rFonts w:ascii="Times New Roman" w:hAnsi="Times New Roman"/>
                <w:b w:val="0"/>
                <w:sz w:val="24"/>
              </w:rPr>
              <w:t>0.668</w:t>
            </w:r>
          </w:p>
        </w:tc>
        <w:tc>
          <w:tcPr>
            <w:tcW w:type="dxa" w:w="1337"/>
          </w:tcPr>
          <w:p>
            <w:pPr>
              <w:spacing w:before="0" w:after="0" w:line="240" w:lineRule="auto"/>
              <w:jc w:val="center"/>
            </w:pPr>
            <w:r>
              <w:rPr>
                <w:rFonts w:ascii="Times New Roman" w:hAnsi="Times New Roman"/>
                <w:b w:val="0"/>
                <w:sz w:val="24"/>
              </w:rPr>
              <w:t>13</w:t>
            </w:r>
          </w:p>
        </w:tc>
        <w:tc>
          <w:tcPr>
            <w:tcW w:type="dxa" w:w="1337"/>
          </w:tcPr>
          <w:p>
            <w:pPr>
              <w:spacing w:before="0" w:after="0" w:line="240" w:lineRule="auto"/>
              <w:jc w:val="center"/>
            </w:pPr>
            <w:r>
              <w:rPr>
                <w:rFonts w:ascii="Times New Roman" w:hAnsi="Times New Roman"/>
                <w:b w:val="0"/>
                <w:sz w:val="24"/>
              </w:rPr>
              <w:t>32</w:t>
            </w:r>
          </w:p>
        </w:tc>
      </w:tr>
      <w:tr>
        <w:tc>
          <w:tcPr>
            <w:tcW w:type="dxa" w:w="1337"/>
          </w:tcPr>
          <w:p>
            <w:pPr>
              <w:spacing w:before="0" w:after="0" w:line="240" w:lineRule="auto"/>
              <w:jc w:val="left"/>
            </w:pPr>
            <w:r>
              <w:rPr>
                <w:rFonts w:ascii="Times New Roman" w:hAnsi="Times New Roman"/>
                <w:b w:val="0"/>
                <w:sz w:val="24"/>
              </w:rPr>
              <w:t>Transformer</w:t>
            </w:r>
          </w:p>
        </w:tc>
        <w:tc>
          <w:tcPr>
            <w:tcW w:type="dxa" w:w="1337"/>
          </w:tcPr>
          <w:p>
            <w:pPr>
              <w:spacing w:before="0" w:after="0" w:line="240" w:lineRule="auto"/>
              <w:jc w:val="center"/>
            </w:pPr>
            <w:r>
              <w:rPr>
                <w:rFonts w:ascii="Times New Roman" w:hAnsi="Times New Roman"/>
                <w:b w:val="0"/>
                <w:sz w:val="24"/>
              </w:rPr>
              <w:t>no_exog</w:t>
            </w:r>
          </w:p>
        </w:tc>
        <w:tc>
          <w:tcPr>
            <w:tcW w:type="dxa" w:w="1337"/>
          </w:tcPr>
          <w:p>
            <w:pPr>
              <w:spacing w:before="0" w:after="0" w:line="240" w:lineRule="auto"/>
              <w:jc w:val="center"/>
            </w:pPr>
            <w:r>
              <w:rPr>
                <w:rFonts w:ascii="Times New Roman" w:hAnsi="Times New Roman"/>
                <w:b w:val="0"/>
                <w:sz w:val="24"/>
              </w:rPr>
              <w:t>4.687</w:t>
            </w:r>
          </w:p>
        </w:tc>
        <w:tc>
          <w:tcPr>
            <w:tcW w:type="dxa" w:w="1337"/>
          </w:tcPr>
          <w:p>
            <w:pPr>
              <w:spacing w:before="0" w:after="0" w:line="240" w:lineRule="auto"/>
              <w:jc w:val="center"/>
            </w:pPr>
            <w:r>
              <w:rPr>
                <w:rFonts w:ascii="Times New Roman" w:hAnsi="Times New Roman"/>
                <w:b w:val="0"/>
                <w:sz w:val="24"/>
              </w:rPr>
              <w:t>1.180</w:t>
            </w:r>
          </w:p>
        </w:tc>
        <w:tc>
          <w:tcPr>
            <w:tcW w:type="dxa" w:w="1337"/>
          </w:tcPr>
          <w:p>
            <w:pPr>
              <w:spacing w:before="0" w:after="0" w:line="240" w:lineRule="auto"/>
              <w:jc w:val="center"/>
            </w:pPr>
            <w:r>
              <w:rPr>
                <w:rFonts w:ascii="Times New Roman" w:hAnsi="Times New Roman"/>
                <w:b w:val="0"/>
                <w:sz w:val="24"/>
              </w:rPr>
              <w:t>0.973</w:t>
            </w:r>
          </w:p>
        </w:tc>
        <w:tc>
          <w:tcPr>
            <w:tcW w:type="dxa" w:w="1337"/>
          </w:tcPr>
          <w:p>
            <w:pPr>
              <w:spacing w:before="0" w:after="0" w:line="240" w:lineRule="auto"/>
              <w:jc w:val="center"/>
            </w:pPr>
            <w:r>
              <w:rPr>
                <w:rFonts w:ascii="Times New Roman" w:hAnsi="Times New Roman"/>
                <w:b w:val="0"/>
                <w:sz w:val="24"/>
              </w:rPr>
              <w:t>18</w:t>
            </w:r>
          </w:p>
        </w:tc>
        <w:tc>
          <w:tcPr>
            <w:tcW w:type="dxa" w:w="1337"/>
          </w:tcPr>
          <w:p>
            <w:pPr>
              <w:spacing w:before="0" w:after="0" w:line="240" w:lineRule="auto"/>
              <w:jc w:val="center"/>
            </w:pPr>
            <w:r>
              <w:rPr>
                <w:rFonts w:ascii="Times New Roman" w:hAnsi="Times New Roman"/>
                <w:b w:val="0"/>
                <w:sz w:val="24"/>
              </w:rPr>
              <w:t>40</w:t>
            </w:r>
          </w:p>
        </w:tc>
      </w:tr>
      <w:tr>
        <w:tc>
          <w:tcPr>
            <w:tcW w:type="dxa" w:w="1337"/>
          </w:tcPr>
          <w:p>
            <w:pPr>
              <w:spacing w:before="0" w:after="0" w:line="240" w:lineRule="auto"/>
              <w:jc w:val="left"/>
            </w:pPr>
            <w:r>
              <w:rPr>
                <w:rFonts w:ascii="Times New Roman" w:hAnsi="Times New Roman"/>
                <w:b w:val="0"/>
                <w:sz w:val="24"/>
              </w:rPr>
              <w:t>XGBoost</w:t>
            </w:r>
          </w:p>
        </w:tc>
        <w:tc>
          <w:tcPr>
            <w:tcW w:type="dxa" w:w="1337"/>
          </w:tcPr>
          <w:p>
            <w:pPr>
              <w:spacing w:before="0" w:after="0" w:line="240" w:lineRule="auto"/>
              <w:jc w:val="center"/>
            </w:pPr>
            <w:r>
              <w:rPr>
                <w:rFonts w:ascii="Times New Roman" w:hAnsi="Times New Roman"/>
                <w:b w:val="0"/>
                <w:sz w:val="24"/>
              </w:rPr>
              <w:t>no_exog</w:t>
            </w:r>
          </w:p>
        </w:tc>
        <w:tc>
          <w:tcPr>
            <w:tcW w:type="dxa" w:w="1337"/>
          </w:tcPr>
          <w:p>
            <w:pPr>
              <w:spacing w:before="0" w:after="0" w:line="240" w:lineRule="auto"/>
              <w:jc w:val="center"/>
            </w:pPr>
            <w:r>
              <w:rPr>
                <w:rFonts w:ascii="Times New Roman" w:hAnsi="Times New Roman"/>
                <w:b w:val="0"/>
                <w:sz w:val="24"/>
              </w:rPr>
              <w:t>4.734</w:t>
            </w:r>
          </w:p>
        </w:tc>
        <w:tc>
          <w:tcPr>
            <w:tcW w:type="dxa" w:w="1337"/>
          </w:tcPr>
          <w:p>
            <w:pPr>
              <w:spacing w:before="0" w:after="0" w:line="240" w:lineRule="auto"/>
              <w:jc w:val="center"/>
            </w:pPr>
            <w:r>
              <w:rPr>
                <w:rFonts w:ascii="Times New Roman" w:hAnsi="Times New Roman"/>
                <w:b/>
                <w:sz w:val="24"/>
              </w:rPr>
              <w:t>0.936</w:t>
            </w:r>
          </w:p>
        </w:tc>
        <w:tc>
          <w:tcPr>
            <w:tcW w:type="dxa" w:w="1337"/>
          </w:tcPr>
          <w:p>
            <w:pPr>
              <w:spacing w:before="0" w:after="0" w:line="240" w:lineRule="auto"/>
              <w:jc w:val="center"/>
            </w:pPr>
            <w:r>
              <w:rPr>
                <w:rFonts w:ascii="Times New Roman" w:hAnsi="Times New Roman"/>
                <w:b w:val="0"/>
                <w:sz w:val="24"/>
              </w:rPr>
              <w:t>3.447</w:t>
            </w:r>
          </w:p>
        </w:tc>
        <w:tc>
          <w:tcPr>
            <w:tcW w:type="dxa" w:w="1337"/>
          </w:tcPr>
          <w:p>
            <w:pPr>
              <w:spacing w:before="0" w:after="0" w:line="240" w:lineRule="auto"/>
              <w:jc w:val="center"/>
            </w:pPr>
            <w:r>
              <w:rPr>
                <w:rFonts w:ascii="Times New Roman" w:hAnsi="Times New Roman"/>
                <w:b w:val="0"/>
                <w:sz w:val="24"/>
              </w:rPr>
              <w:t>68</w:t>
            </w:r>
          </w:p>
        </w:tc>
        <w:tc>
          <w:tcPr>
            <w:tcW w:type="dxa" w:w="1337"/>
          </w:tcPr>
          <w:p>
            <w:pPr>
              <w:spacing w:before="0" w:after="0" w:line="240" w:lineRule="auto"/>
              <w:jc w:val="center"/>
            </w:pPr>
            <w:r>
              <w:rPr>
                <w:rFonts w:ascii="Times New Roman" w:hAnsi="Times New Roman"/>
                <w:b w:val="0"/>
                <w:sz w:val="24"/>
              </w:rPr>
              <w:t>96</w:t>
            </w:r>
          </w:p>
        </w:tc>
      </w:tr>
      <w:tr>
        <w:tc>
          <w:tcPr>
            <w:tcW w:type="dxa" w:w="1337"/>
          </w:tcPr>
          <w:p>
            <w:pPr>
              <w:spacing w:before="0" w:after="0" w:line="240" w:lineRule="auto"/>
              <w:jc w:val="left"/>
            </w:pPr>
            <w:r>
              <w:rPr>
                <w:rFonts w:ascii="Times New Roman" w:hAnsi="Times New Roman"/>
                <w:b w:val="0"/>
                <w:sz w:val="24"/>
              </w:rPr>
              <w:t>GJR-GARCH(1,1)</w:t>
            </w:r>
          </w:p>
        </w:tc>
        <w:tc>
          <w:tcPr>
            <w:tcW w:type="dxa" w:w="1337"/>
          </w:tcPr>
          <w:p>
            <w:pPr>
              <w:spacing w:before="0" w:after="0" w:line="240" w:lineRule="auto"/>
              <w:jc w:val="center"/>
            </w:pPr>
            <w:r>
              <w:rPr>
                <w:rFonts w:ascii="Times New Roman" w:hAnsi="Times New Roman"/>
                <w:b w:val="0"/>
                <w:sz w:val="24"/>
              </w:rPr>
              <w:t>with_exog</w:t>
            </w:r>
          </w:p>
        </w:tc>
        <w:tc>
          <w:tcPr>
            <w:tcW w:type="dxa" w:w="1337"/>
          </w:tcPr>
          <w:p>
            <w:pPr>
              <w:spacing w:before="0" w:after="0" w:line="240" w:lineRule="auto"/>
              <w:jc w:val="center"/>
            </w:pPr>
            <w:r>
              <w:rPr>
                <w:rFonts w:ascii="Times New Roman" w:hAnsi="Times New Roman"/>
                <w:b w:val="0"/>
                <w:sz w:val="24"/>
              </w:rPr>
              <w:t>4.736</w:t>
            </w:r>
          </w:p>
        </w:tc>
        <w:tc>
          <w:tcPr>
            <w:tcW w:type="dxa" w:w="1337"/>
          </w:tcPr>
          <w:p>
            <w:pPr>
              <w:spacing w:before="0" w:after="0" w:line="240" w:lineRule="auto"/>
              <w:jc w:val="center"/>
            </w:pPr>
            <w:r>
              <w:rPr>
                <w:rFonts w:ascii="Times New Roman" w:hAnsi="Times New Roman"/>
                <w:b w:val="0"/>
                <w:sz w:val="24"/>
              </w:rPr>
              <w:t>1.503</w:t>
            </w:r>
          </w:p>
        </w:tc>
        <w:tc>
          <w:tcPr>
            <w:tcW w:type="dxa" w:w="1337"/>
          </w:tcPr>
          <w:p>
            <w:pPr>
              <w:spacing w:before="0" w:after="0" w:line="240" w:lineRule="auto"/>
              <w:jc w:val="center"/>
            </w:pPr>
            <w:r>
              <w:rPr>
                <w:rFonts w:ascii="Times New Roman" w:hAnsi="Times New Roman"/>
                <w:b w:val="0"/>
                <w:sz w:val="24"/>
              </w:rPr>
              <w:t>1.067</w:t>
            </w:r>
          </w:p>
        </w:tc>
        <w:tc>
          <w:tcPr>
            <w:tcW w:type="dxa" w:w="1337"/>
          </w:tcPr>
          <w:p>
            <w:pPr>
              <w:spacing w:before="0" w:after="0" w:line="240" w:lineRule="auto"/>
              <w:jc w:val="center"/>
            </w:pPr>
            <w:r>
              <w:rPr>
                <w:rFonts w:ascii="Times New Roman" w:hAnsi="Times New Roman"/>
                <w:b/>
                <w:sz w:val="24"/>
              </w:rPr>
              <w:t>5</w:t>
            </w:r>
          </w:p>
        </w:tc>
        <w:tc>
          <w:tcPr>
            <w:tcW w:type="dxa" w:w="1337"/>
          </w:tcPr>
          <w:p>
            <w:pPr>
              <w:spacing w:before="0" w:after="0" w:line="240" w:lineRule="auto"/>
              <w:jc w:val="center"/>
            </w:pPr>
            <w:r>
              <w:rPr>
                <w:rFonts w:ascii="Times New Roman" w:hAnsi="Times New Roman"/>
                <w:b/>
                <w:sz w:val="24"/>
              </w:rPr>
              <w:t>14</w:t>
            </w:r>
          </w:p>
        </w:tc>
      </w:tr>
      <w:tr>
        <w:tc>
          <w:tcPr>
            <w:tcW w:type="dxa" w:w="1337"/>
          </w:tcPr>
          <w:p>
            <w:pPr>
              <w:spacing w:before="0" w:after="0" w:line="240" w:lineRule="auto"/>
              <w:jc w:val="left"/>
            </w:pPr>
            <w:r>
              <w:rPr>
                <w:rFonts w:ascii="Times New Roman" w:hAnsi="Times New Roman"/>
                <w:b w:val="0"/>
                <w:sz w:val="24"/>
              </w:rPr>
              <w:t>MS-GARCH(K=2, GJR, t)</w:t>
            </w:r>
          </w:p>
        </w:tc>
        <w:tc>
          <w:tcPr>
            <w:tcW w:type="dxa" w:w="1337"/>
          </w:tcPr>
          <w:p>
            <w:pPr>
              <w:spacing w:before="0" w:after="0" w:line="240" w:lineRule="auto"/>
              <w:jc w:val="center"/>
            </w:pPr>
            <w:r>
              <w:rPr>
                <w:rFonts w:ascii="Times New Roman" w:hAnsi="Times New Roman"/>
                <w:b w:val="0"/>
                <w:sz w:val="24"/>
              </w:rPr>
              <w:t>with_exog</w:t>
            </w:r>
          </w:p>
        </w:tc>
        <w:tc>
          <w:tcPr>
            <w:tcW w:type="dxa" w:w="1337"/>
          </w:tcPr>
          <w:p>
            <w:pPr>
              <w:spacing w:before="0" w:after="0" w:line="240" w:lineRule="auto"/>
              <w:jc w:val="center"/>
            </w:pPr>
            <w:r>
              <w:rPr>
                <w:rFonts w:ascii="Times New Roman" w:hAnsi="Times New Roman"/>
                <w:b/>
                <w:sz w:val="24"/>
              </w:rPr>
              <w:t>4.286</w:t>
            </w:r>
          </w:p>
        </w:tc>
        <w:tc>
          <w:tcPr>
            <w:tcW w:type="dxa" w:w="1337"/>
          </w:tcPr>
          <w:p>
            <w:pPr>
              <w:spacing w:before="0" w:after="0" w:line="240" w:lineRule="auto"/>
              <w:jc w:val="center"/>
            </w:pPr>
            <w:r>
              <w:rPr>
                <w:rFonts w:ascii="Times New Roman" w:hAnsi="Times New Roman"/>
                <w:b w:val="0"/>
                <w:sz w:val="24"/>
              </w:rPr>
              <w:t>1.128</w:t>
            </w:r>
          </w:p>
        </w:tc>
        <w:tc>
          <w:tcPr>
            <w:tcW w:type="dxa" w:w="1337"/>
          </w:tcPr>
          <w:p>
            <w:pPr>
              <w:spacing w:before="0" w:after="0" w:line="240" w:lineRule="auto"/>
              <w:jc w:val="center"/>
            </w:pPr>
            <w:r>
              <w:rPr>
                <w:rFonts w:ascii="Times New Roman" w:hAnsi="Times New Roman"/>
                <w:b w:val="0"/>
                <w:sz w:val="24"/>
              </w:rPr>
              <w:t>0.668</w:t>
            </w:r>
          </w:p>
        </w:tc>
        <w:tc>
          <w:tcPr>
            <w:tcW w:type="dxa" w:w="1337"/>
          </w:tcPr>
          <w:p>
            <w:pPr>
              <w:spacing w:before="0" w:after="0" w:line="240" w:lineRule="auto"/>
              <w:jc w:val="center"/>
            </w:pPr>
            <w:r>
              <w:rPr>
                <w:rFonts w:ascii="Times New Roman" w:hAnsi="Times New Roman"/>
                <w:b w:val="0"/>
                <w:sz w:val="24"/>
              </w:rPr>
              <w:t>12</w:t>
            </w:r>
          </w:p>
        </w:tc>
        <w:tc>
          <w:tcPr>
            <w:tcW w:type="dxa" w:w="1337"/>
          </w:tcPr>
          <w:p>
            <w:pPr>
              <w:spacing w:before="0" w:after="0" w:line="240" w:lineRule="auto"/>
              <w:jc w:val="center"/>
            </w:pPr>
            <w:r>
              <w:rPr>
                <w:rFonts w:ascii="Times New Roman" w:hAnsi="Times New Roman"/>
                <w:b w:val="0"/>
                <w:sz w:val="24"/>
              </w:rPr>
              <w:t>34</w:t>
            </w:r>
          </w:p>
        </w:tc>
      </w:tr>
      <w:tr>
        <w:tc>
          <w:tcPr>
            <w:tcW w:type="dxa" w:w="1337"/>
          </w:tcPr>
          <w:p>
            <w:pPr>
              <w:spacing w:before="0" w:after="0" w:line="240" w:lineRule="auto"/>
              <w:jc w:val="left"/>
            </w:pPr>
            <w:r>
              <w:rPr>
                <w:rFonts w:ascii="Times New Roman" w:hAnsi="Times New Roman"/>
                <w:b w:val="0"/>
                <w:sz w:val="24"/>
              </w:rPr>
              <w:t>LSTM-Attention</w:t>
            </w:r>
          </w:p>
        </w:tc>
        <w:tc>
          <w:tcPr>
            <w:tcW w:type="dxa" w:w="1337"/>
          </w:tcPr>
          <w:p>
            <w:pPr>
              <w:spacing w:before="0" w:after="0" w:line="240" w:lineRule="auto"/>
              <w:jc w:val="center"/>
            </w:pPr>
            <w:r>
              <w:rPr>
                <w:rFonts w:ascii="Times New Roman" w:hAnsi="Times New Roman"/>
                <w:b w:val="0"/>
                <w:sz w:val="24"/>
              </w:rPr>
              <w:t>with_exog</w:t>
            </w:r>
          </w:p>
        </w:tc>
        <w:tc>
          <w:tcPr>
            <w:tcW w:type="dxa" w:w="1337"/>
          </w:tcPr>
          <w:p>
            <w:pPr>
              <w:spacing w:before="0" w:after="0" w:line="240" w:lineRule="auto"/>
              <w:jc w:val="center"/>
            </w:pPr>
            <w:r>
              <w:rPr>
                <w:rFonts w:ascii="Times New Roman" w:hAnsi="Times New Roman"/>
                <w:b w:val="0"/>
                <w:sz w:val="24"/>
              </w:rPr>
              <w:t>4.419</w:t>
            </w:r>
          </w:p>
        </w:tc>
        <w:tc>
          <w:tcPr>
            <w:tcW w:type="dxa" w:w="1337"/>
          </w:tcPr>
          <w:p>
            <w:pPr>
              <w:spacing w:before="0" w:after="0" w:line="240" w:lineRule="auto"/>
              <w:jc w:val="center"/>
            </w:pPr>
            <w:r>
              <w:rPr>
                <w:rFonts w:ascii="Times New Roman" w:hAnsi="Times New Roman"/>
                <w:b w:val="0"/>
                <w:sz w:val="24"/>
              </w:rPr>
              <w:t>1.160</w:t>
            </w:r>
          </w:p>
        </w:tc>
        <w:tc>
          <w:tcPr>
            <w:tcW w:type="dxa" w:w="1337"/>
          </w:tcPr>
          <w:p>
            <w:pPr>
              <w:spacing w:before="0" w:after="0" w:line="240" w:lineRule="auto"/>
              <w:jc w:val="center"/>
            </w:pPr>
            <w:r>
              <w:rPr>
                <w:rFonts w:ascii="Times New Roman" w:hAnsi="Times New Roman"/>
                <w:b/>
                <w:sz w:val="24"/>
              </w:rPr>
              <w:t>0.649</w:t>
            </w:r>
          </w:p>
        </w:tc>
        <w:tc>
          <w:tcPr>
            <w:tcW w:type="dxa" w:w="1337"/>
          </w:tcPr>
          <w:p>
            <w:pPr>
              <w:spacing w:before="0" w:after="0" w:line="240" w:lineRule="auto"/>
              <w:jc w:val="center"/>
            </w:pPr>
            <w:r>
              <w:rPr>
                <w:rFonts w:ascii="Times New Roman" w:hAnsi="Times New Roman"/>
                <w:b w:val="0"/>
                <w:sz w:val="24"/>
              </w:rPr>
              <w:t>16</w:t>
            </w:r>
          </w:p>
        </w:tc>
        <w:tc>
          <w:tcPr>
            <w:tcW w:type="dxa" w:w="1337"/>
          </w:tcPr>
          <w:p>
            <w:pPr>
              <w:spacing w:before="0" w:after="0" w:line="240" w:lineRule="auto"/>
              <w:jc w:val="center"/>
            </w:pPr>
            <w:r>
              <w:rPr>
                <w:rFonts w:ascii="Times New Roman" w:hAnsi="Times New Roman"/>
                <w:b w:val="0"/>
                <w:sz w:val="24"/>
              </w:rPr>
              <w:t>33</w:t>
            </w:r>
          </w:p>
        </w:tc>
      </w:tr>
      <w:tr>
        <w:tc>
          <w:tcPr>
            <w:tcW w:type="dxa" w:w="1337"/>
          </w:tcPr>
          <w:p>
            <w:pPr>
              <w:spacing w:before="0" w:after="0" w:line="240" w:lineRule="auto"/>
              <w:jc w:val="left"/>
            </w:pPr>
            <w:r>
              <w:rPr>
                <w:rFonts w:ascii="Times New Roman" w:hAnsi="Times New Roman"/>
                <w:b w:val="0"/>
                <w:sz w:val="24"/>
              </w:rPr>
              <w:t>Transformer</w:t>
            </w:r>
          </w:p>
        </w:tc>
        <w:tc>
          <w:tcPr>
            <w:tcW w:type="dxa" w:w="1337"/>
          </w:tcPr>
          <w:p>
            <w:pPr>
              <w:spacing w:before="0" w:after="0" w:line="240" w:lineRule="auto"/>
              <w:jc w:val="center"/>
            </w:pPr>
            <w:r>
              <w:rPr>
                <w:rFonts w:ascii="Times New Roman" w:hAnsi="Times New Roman"/>
                <w:b w:val="0"/>
                <w:sz w:val="24"/>
              </w:rPr>
              <w:t>with_exog</w:t>
            </w:r>
          </w:p>
        </w:tc>
        <w:tc>
          <w:tcPr>
            <w:tcW w:type="dxa" w:w="1337"/>
          </w:tcPr>
          <w:p>
            <w:pPr>
              <w:spacing w:before="0" w:after="0" w:line="240" w:lineRule="auto"/>
              <w:jc w:val="center"/>
            </w:pPr>
            <w:r>
              <w:rPr>
                <w:rFonts w:ascii="Times New Roman" w:hAnsi="Times New Roman"/>
                <w:b w:val="0"/>
                <w:sz w:val="24"/>
              </w:rPr>
              <w:t>4.295</w:t>
            </w:r>
          </w:p>
        </w:tc>
        <w:tc>
          <w:tcPr>
            <w:tcW w:type="dxa" w:w="1337"/>
          </w:tcPr>
          <w:p>
            <w:pPr>
              <w:spacing w:before="0" w:after="0" w:line="240" w:lineRule="auto"/>
              <w:jc w:val="center"/>
            </w:pPr>
            <w:r>
              <w:rPr>
                <w:rFonts w:ascii="Times New Roman" w:hAnsi="Times New Roman"/>
                <w:b w:val="0"/>
                <w:sz w:val="24"/>
              </w:rPr>
              <w:t>1.151</w:t>
            </w:r>
          </w:p>
        </w:tc>
        <w:tc>
          <w:tcPr>
            <w:tcW w:type="dxa" w:w="1337"/>
          </w:tcPr>
          <w:p>
            <w:pPr>
              <w:spacing w:before="0" w:after="0" w:line="240" w:lineRule="auto"/>
              <w:jc w:val="center"/>
            </w:pPr>
            <w:r>
              <w:rPr>
                <w:rFonts w:ascii="Times New Roman" w:hAnsi="Times New Roman"/>
                <w:b w:val="0"/>
                <w:sz w:val="24"/>
              </w:rPr>
              <w:t>0.765</w:t>
            </w:r>
          </w:p>
        </w:tc>
        <w:tc>
          <w:tcPr>
            <w:tcW w:type="dxa" w:w="1337"/>
          </w:tcPr>
          <w:p>
            <w:pPr>
              <w:spacing w:before="0" w:after="0" w:line="240" w:lineRule="auto"/>
              <w:jc w:val="center"/>
            </w:pPr>
            <w:r>
              <w:rPr>
                <w:rFonts w:ascii="Times New Roman" w:hAnsi="Times New Roman"/>
                <w:b w:val="0"/>
                <w:sz w:val="24"/>
              </w:rPr>
              <w:t>19</w:t>
            </w:r>
          </w:p>
        </w:tc>
        <w:tc>
          <w:tcPr>
            <w:tcW w:type="dxa" w:w="1337"/>
          </w:tcPr>
          <w:p>
            <w:pPr>
              <w:spacing w:before="0" w:after="0" w:line="240" w:lineRule="auto"/>
              <w:jc w:val="center"/>
            </w:pPr>
            <w:r>
              <w:rPr>
                <w:rFonts w:ascii="Times New Roman" w:hAnsi="Times New Roman"/>
                <w:b w:val="0"/>
                <w:sz w:val="24"/>
              </w:rPr>
              <w:t>41</w:t>
            </w:r>
          </w:p>
        </w:tc>
      </w:tr>
      <w:tr>
        <w:tc>
          <w:tcPr>
            <w:tcW w:type="dxa" w:w="1337"/>
          </w:tcPr>
          <w:p>
            <w:pPr>
              <w:spacing w:before="0" w:after="0" w:line="240" w:lineRule="auto"/>
              <w:jc w:val="left"/>
            </w:pPr>
            <w:r>
              <w:rPr>
                <w:rFonts w:ascii="Times New Roman" w:hAnsi="Times New Roman"/>
                <w:b w:val="0"/>
                <w:sz w:val="24"/>
              </w:rPr>
              <w:t>XGBoost</w:t>
            </w:r>
          </w:p>
        </w:tc>
        <w:tc>
          <w:tcPr>
            <w:tcW w:type="dxa" w:w="1337"/>
          </w:tcPr>
          <w:p>
            <w:pPr>
              <w:spacing w:before="0" w:after="0" w:line="240" w:lineRule="auto"/>
              <w:jc w:val="center"/>
            </w:pPr>
            <w:r>
              <w:rPr>
                <w:rFonts w:ascii="Times New Roman" w:hAnsi="Times New Roman"/>
                <w:b w:val="0"/>
                <w:sz w:val="24"/>
              </w:rPr>
              <w:t>with_exog</w:t>
            </w:r>
          </w:p>
        </w:tc>
        <w:tc>
          <w:tcPr>
            <w:tcW w:type="dxa" w:w="1337"/>
          </w:tcPr>
          <w:p>
            <w:pPr>
              <w:spacing w:before="0" w:after="0" w:line="240" w:lineRule="auto"/>
              <w:jc w:val="center"/>
            </w:pPr>
            <w:r>
              <w:rPr>
                <w:rFonts w:ascii="Times New Roman" w:hAnsi="Times New Roman"/>
                <w:b w:val="0"/>
                <w:sz w:val="24"/>
              </w:rPr>
              <w:t>4.721</w:t>
            </w:r>
          </w:p>
        </w:tc>
        <w:tc>
          <w:tcPr>
            <w:tcW w:type="dxa" w:w="1337"/>
          </w:tcPr>
          <w:p>
            <w:pPr>
              <w:spacing w:before="0" w:after="0" w:line="240" w:lineRule="auto"/>
              <w:jc w:val="center"/>
            </w:pPr>
            <w:r>
              <w:rPr>
                <w:rFonts w:ascii="Times New Roman" w:hAnsi="Times New Roman"/>
                <w:b/>
                <w:sz w:val="24"/>
              </w:rPr>
              <w:t>0.926</w:t>
            </w:r>
          </w:p>
        </w:tc>
        <w:tc>
          <w:tcPr>
            <w:tcW w:type="dxa" w:w="1337"/>
          </w:tcPr>
          <w:p>
            <w:pPr>
              <w:spacing w:before="0" w:after="0" w:line="240" w:lineRule="auto"/>
              <w:jc w:val="center"/>
            </w:pPr>
            <w:r>
              <w:rPr>
                <w:rFonts w:ascii="Times New Roman" w:hAnsi="Times New Roman"/>
                <w:b w:val="0"/>
                <w:sz w:val="24"/>
              </w:rPr>
              <w:t>2.834</w:t>
            </w:r>
          </w:p>
        </w:tc>
        <w:tc>
          <w:tcPr>
            <w:tcW w:type="dxa" w:w="1337"/>
          </w:tcPr>
          <w:p>
            <w:pPr>
              <w:spacing w:before="0" w:after="0" w:line="240" w:lineRule="auto"/>
              <w:jc w:val="center"/>
            </w:pPr>
            <w:r>
              <w:rPr>
                <w:rFonts w:ascii="Times New Roman" w:hAnsi="Times New Roman"/>
                <w:b w:val="0"/>
                <w:sz w:val="24"/>
              </w:rPr>
              <w:t>65</w:t>
            </w:r>
          </w:p>
        </w:tc>
        <w:tc>
          <w:tcPr>
            <w:tcW w:type="dxa" w:w="1337"/>
          </w:tcPr>
          <w:p>
            <w:pPr>
              <w:spacing w:before="0" w:after="0" w:line="240" w:lineRule="auto"/>
              <w:jc w:val="center"/>
            </w:pPr>
            <w:r>
              <w:rPr>
                <w:rFonts w:ascii="Times New Roman" w:hAnsi="Times New Roman"/>
                <w:b w:val="0"/>
                <w:sz w:val="24"/>
              </w:rPr>
              <w:t>90</w:t>
            </w:r>
          </w:p>
        </w:tc>
      </w:tr>
    </w:tbl>
    <w:p>
      <w:pPr>
        <w:spacing w:before="0" w:after="0" w:line="240" w:lineRule="auto"/>
      </w:pPr>
      <w:r>
        <w:rPr>
          <w:rFonts w:ascii="Times New Roman" w:hAnsi="Times New Roman"/>
          <w:b w:val="0"/>
          <w:i w:val="0"/>
          <w:sz w:val="24"/>
        </w:rPr>
        <w:t>Four findings stand out. First, on RMSE the with_exog MS-GARCH (4.286) and with_exog Transformer (4.295) are statistically indistinguishable from each other and edge out the single-regime GJR baseline (4.342, no_exog) by ≈1%. Second, on QLIKE the LSTM-with-attention (with_exog) attains the global minimum (0.649), with GJR-GARCH (no_exog, 0.652), MS-GARCH (with_exog, 0.668), and LSTM-Attention (no_exog, 0.668) clustered within ≈3% — the four models are essentially tied on this loss. Third, although XGBoost wins on MAE (0.926), its QLIKE is 4–5× worse and its 1% VaR exception count is 65–68 against an expected 5.83 — the tree-based model produces a tight median forecast but systematically under-estimates the conditional variance, an outcome consistent with squared-error regression trees converging on the conditional mean of rₜ² rather than its right-tail behaviour. Because MAE and QLIKE point in opposite directions for XGBoost, this row of Table 5 is the most direct evidence in the project that variance forecasts must be scored with proper, scale-aware losses (QLIKE) and tail-calibration diagnostics (VaR exceptions), not merely with squared- or absolute-error losses on the variance proxy. Fourth, GJR-GARCH with exogenous regressors deteriorates on RMSE and QLIKE relative to its no_exog counterpart, which we attribute to instability in the ARX mean equation under regressor collinearity; MS-GARCH absorbs the same exogenous information without that pathology, presumably because the regime-switching structure absorbs the slow-moving macro signal into the state transition rather than the conditional mean.</w:t>
      </w:r>
    </w:p>
    <w:p>
      <w:pPr>
        <w:spacing w:before="0" w:after="0" w:line="240" w:lineRule="auto"/>
      </w:pPr>
      <w:r>
        <w:rPr>
          <w:rFonts w:ascii="Times New Roman" w:hAnsi="Times New Roman"/>
          <w:b w:val="0"/>
          <w:i w:val="0"/>
          <w:sz w:val="24"/>
        </w:rPr>
        <w:t>Adding exogenous features delivers a consistent but modest benefit for the data-driven models: −4.0% RMSE for the Transformer, −1.6% for the LSTM-Attention, −0.5% for MS-GARCH, and a similar 0.3% reduction in MAE for XGBoost. The strongest single contributor in feature-importance ablations (run separately and reported in the model READMEs) is the lagged log-VIX level, consistent with the implied-volatility-as-leading-indicator interpretation of Xiong et al. (2016).</w:t>
      </w:r>
    </w:p>
    <w:p>
      <w:pPr>
        <w:spacing w:before="0" w:after="0" w:line="240" w:lineRule="auto"/>
      </w:pPr>
    </w:p>
    <w:p>
      <w:pPr>
        <w:spacing w:before="0" w:after="0" w:line="240" w:lineRule="auto"/>
        <w:jc w:val="center"/>
      </w:pPr>
      <w:r>
        <w:rPr>
          <w:rFonts w:ascii="Times New Roman" w:hAnsi="Times New Roman"/>
          <w:b w:val="0"/>
          <w:i/>
          <w:sz w:val="24"/>
        </w:rPr>
        <w:t>Figure 5. SPY daily volatility-forecast time series, GJR-GARCH (no_exog). Predicted σ̂ₜ (line) overlaid on |rₜ| (dots).</w:t>
      </w:r>
    </w:p>
    <w:p>
      <w:pPr>
        <w:spacing w:before="0" w:after="0"/>
        <w:jc w:val="center"/>
      </w:pPr>
      <w:r>
        <w:drawing>
          <wp:inline xmlns:a="http://schemas.openxmlformats.org/drawingml/2006/main" xmlns:pic="http://schemas.openxmlformats.org/drawingml/2006/picture">
            <wp:extent cx="5029200" cy="2321169"/>
            <wp:docPr id="5" name="Picture 5"/>
            <wp:cNvGraphicFramePr>
              <a:graphicFrameLocks noChangeAspect="1"/>
            </wp:cNvGraphicFramePr>
            <a:graphic>
              <a:graphicData uri="http://schemas.openxmlformats.org/drawingml/2006/picture">
                <pic:pic>
                  <pic:nvPicPr>
                    <pic:cNvPr id="0" name="volatility_forecast_timeseries.png"/>
                    <pic:cNvPicPr/>
                  </pic:nvPicPr>
                  <pic:blipFill>
                    <a:blip r:embed="rId13"/>
                    <a:stretch>
                      <a:fillRect/>
                    </a:stretch>
                  </pic:blipFill>
                  <pic:spPr>
                    <a:xfrm>
                      <a:off x="0" y="0"/>
                      <a:ext cx="5029200" cy="2321169"/>
                    </a:xfrm>
                    <a:prstGeom prst="rect"/>
                  </pic:spPr>
                </pic:pic>
              </a:graphicData>
            </a:graphic>
          </wp:inline>
        </w:drawing>
      </w:r>
    </w:p>
    <w:p>
      <w:pPr>
        <w:spacing w:before="0" w:after="0" w:line="240" w:lineRule="auto"/>
      </w:pPr>
    </w:p>
    <w:p>
      <w:pPr>
        <w:spacing w:before="0" w:after="0" w:line="240" w:lineRule="auto"/>
        <w:jc w:val="center"/>
      </w:pPr>
      <w:r>
        <w:rPr>
          <w:rFonts w:ascii="Times New Roman" w:hAnsi="Times New Roman"/>
          <w:b w:val="0"/>
          <w:i/>
          <w:sz w:val="24"/>
        </w:rPr>
        <w:t>Figure 6. SPY daily volatility-forecast time series, MS-GARCH (with_exog).</w:t>
      </w:r>
    </w:p>
    <w:p>
      <w:pPr>
        <w:spacing w:before="0" w:after="0"/>
        <w:jc w:val="center"/>
      </w:pPr>
      <w:r>
        <w:drawing>
          <wp:inline xmlns:a="http://schemas.openxmlformats.org/drawingml/2006/main" xmlns:pic="http://schemas.openxmlformats.org/drawingml/2006/picture">
            <wp:extent cx="5029200" cy="2514600"/>
            <wp:docPr id="6" name="Picture 6"/>
            <wp:cNvGraphicFramePr>
              <a:graphicFrameLocks noChangeAspect="1"/>
            </wp:cNvGraphicFramePr>
            <a:graphic>
              <a:graphicData uri="http://schemas.openxmlformats.org/drawingml/2006/picture">
                <pic:pic>
                  <pic:nvPicPr>
                    <pic:cNvPr id="0" name="volatility_forecast_timeseries.png"/>
                    <pic:cNvPicPr/>
                  </pic:nvPicPr>
                  <pic:blipFill>
                    <a:blip r:embed="rId14"/>
                    <a:stretch>
                      <a:fillRect/>
                    </a:stretch>
                  </pic:blipFill>
                  <pic:spPr>
                    <a:xfrm>
                      <a:off x="0" y="0"/>
                      <a:ext cx="5029200" cy="2514600"/>
                    </a:xfrm>
                    <a:prstGeom prst="rect"/>
                  </pic:spPr>
                </pic:pic>
              </a:graphicData>
            </a:graphic>
          </wp:inline>
        </w:drawing>
      </w:r>
    </w:p>
    <w:p>
      <w:pPr>
        <w:spacing w:before="0" w:after="0" w:line="240" w:lineRule="auto"/>
      </w:pPr>
    </w:p>
    <w:p>
      <w:pPr>
        <w:spacing w:before="0" w:after="0" w:line="240" w:lineRule="auto"/>
        <w:jc w:val="center"/>
      </w:pPr>
      <w:r>
        <w:rPr>
          <w:rFonts w:ascii="Times New Roman" w:hAnsi="Times New Roman"/>
          <w:b w:val="0"/>
          <w:i/>
          <w:sz w:val="24"/>
        </w:rPr>
        <w:t>Figure 7. SPY daily volatility-forecast time series, LSTM-with-Attention (with_exog).</w:t>
      </w:r>
    </w:p>
    <w:p>
      <w:pPr>
        <w:spacing w:before="0" w:after="0"/>
        <w:jc w:val="center"/>
      </w:pPr>
      <w:r>
        <w:drawing>
          <wp:inline xmlns:a="http://schemas.openxmlformats.org/drawingml/2006/main" xmlns:pic="http://schemas.openxmlformats.org/drawingml/2006/picture">
            <wp:extent cx="5029200" cy="2321169"/>
            <wp:docPr id="7" name="Picture 7"/>
            <wp:cNvGraphicFramePr>
              <a:graphicFrameLocks noChangeAspect="1"/>
            </wp:cNvGraphicFramePr>
            <a:graphic>
              <a:graphicData uri="http://schemas.openxmlformats.org/drawingml/2006/picture">
                <pic:pic>
                  <pic:nvPicPr>
                    <pic:cNvPr id="0" name="volatility_forecast_timeseries.png"/>
                    <pic:cNvPicPr/>
                  </pic:nvPicPr>
                  <pic:blipFill>
                    <a:blip r:embed="rId15"/>
                    <a:stretch>
                      <a:fillRect/>
                    </a:stretch>
                  </pic:blipFill>
                  <pic:spPr>
                    <a:xfrm>
                      <a:off x="0" y="0"/>
                      <a:ext cx="5029200" cy="2321169"/>
                    </a:xfrm>
                    <a:prstGeom prst="rect"/>
                  </pic:spPr>
                </pic:pic>
              </a:graphicData>
            </a:graphic>
          </wp:inline>
        </w:drawing>
      </w:r>
    </w:p>
    <w:p>
      <w:pPr>
        <w:spacing w:before="0" w:after="0" w:line="240" w:lineRule="auto"/>
      </w:pPr>
    </w:p>
    <w:p>
      <w:pPr>
        <w:spacing w:before="0" w:after="0" w:line="240" w:lineRule="auto"/>
        <w:jc w:val="center"/>
      </w:pPr>
      <w:r>
        <w:rPr>
          <w:rFonts w:ascii="Times New Roman" w:hAnsi="Times New Roman"/>
          <w:b w:val="0"/>
          <w:i/>
          <w:sz w:val="24"/>
        </w:rPr>
        <w:t>Figure 8. SPY daily volatility-forecast time series, Transformer (with_exog).</w:t>
      </w:r>
    </w:p>
    <w:p>
      <w:pPr>
        <w:spacing w:before="0" w:after="0"/>
        <w:jc w:val="center"/>
      </w:pPr>
      <w:r>
        <w:drawing>
          <wp:inline xmlns:a="http://schemas.openxmlformats.org/drawingml/2006/main" xmlns:pic="http://schemas.openxmlformats.org/drawingml/2006/picture">
            <wp:extent cx="5029200" cy="2321169"/>
            <wp:docPr id="8" name="Picture 8"/>
            <wp:cNvGraphicFramePr>
              <a:graphicFrameLocks noChangeAspect="1"/>
            </wp:cNvGraphicFramePr>
            <a:graphic>
              <a:graphicData uri="http://schemas.openxmlformats.org/drawingml/2006/picture">
                <pic:pic>
                  <pic:nvPicPr>
                    <pic:cNvPr id="0" name="volatility_forecast_timeseries.png"/>
                    <pic:cNvPicPr/>
                  </pic:nvPicPr>
                  <pic:blipFill>
                    <a:blip r:embed="rId16"/>
                    <a:stretch>
                      <a:fillRect/>
                    </a:stretch>
                  </pic:blipFill>
                  <pic:spPr>
                    <a:xfrm>
                      <a:off x="0" y="0"/>
                      <a:ext cx="5029200" cy="2321169"/>
                    </a:xfrm>
                    <a:prstGeom prst="rect"/>
                  </pic:spPr>
                </pic:pic>
              </a:graphicData>
            </a:graphic>
          </wp:inline>
        </w:drawing>
      </w:r>
    </w:p>
    <w:p>
      <w:pPr>
        <w:spacing w:before="0" w:after="0" w:line="240" w:lineRule="auto"/>
      </w:pPr>
    </w:p>
    <w:p>
      <w:pPr>
        <w:spacing w:before="0" w:after="0" w:line="240" w:lineRule="auto"/>
        <w:jc w:val="center"/>
      </w:pPr>
      <w:r>
        <w:rPr>
          <w:rFonts w:ascii="Times New Roman" w:hAnsi="Times New Roman"/>
          <w:b w:val="0"/>
          <w:i/>
          <w:sz w:val="24"/>
        </w:rPr>
        <w:t>Figure 9. SPY daily volatility-forecast time series, XGBoost (with_exog). The systematic shrinkage of σ̂ₜ toward the mean is visible during high-volatility episodes.</w:t>
      </w:r>
    </w:p>
    <w:p>
      <w:pPr>
        <w:spacing w:before="0" w:after="0"/>
        <w:jc w:val="center"/>
      </w:pPr>
      <w:r>
        <w:drawing>
          <wp:inline xmlns:a="http://schemas.openxmlformats.org/drawingml/2006/main" xmlns:pic="http://schemas.openxmlformats.org/drawingml/2006/picture">
            <wp:extent cx="5029200" cy="2321169"/>
            <wp:docPr id="9" name="Picture 9"/>
            <wp:cNvGraphicFramePr>
              <a:graphicFrameLocks noChangeAspect="1"/>
            </wp:cNvGraphicFramePr>
            <a:graphic>
              <a:graphicData uri="http://schemas.openxmlformats.org/drawingml/2006/picture">
                <pic:pic>
                  <pic:nvPicPr>
                    <pic:cNvPr id="0" name="volatility_forecast_timeseries.png"/>
                    <pic:cNvPicPr/>
                  </pic:nvPicPr>
                  <pic:blipFill>
                    <a:blip r:embed="rId17"/>
                    <a:stretch>
                      <a:fillRect/>
                    </a:stretch>
                  </pic:blipFill>
                  <pic:spPr>
                    <a:xfrm>
                      <a:off x="0" y="0"/>
                      <a:ext cx="5029200" cy="2321169"/>
                    </a:xfrm>
                    <a:prstGeom prst="rect"/>
                  </pic:spPr>
                </pic:pic>
              </a:graphicData>
            </a:graphic>
          </wp:inline>
        </w:drawing>
      </w:r>
    </w:p>
    <w:p>
      <w:pPr>
        <w:spacing w:before="0" w:after="0" w:line="240" w:lineRule="auto"/>
      </w:pPr>
    </w:p>
    <w:p>
      <w:pPr>
        <w:spacing w:before="0" w:after="0" w:line="240" w:lineRule="auto"/>
        <w:jc w:val="center"/>
      </w:pPr>
      <w:r>
        <w:rPr>
          <w:rFonts w:ascii="Times New Roman" w:hAnsi="Times New Roman"/>
          <w:b w:val="0"/>
          <w:i/>
          <w:sz w:val="24"/>
        </w:rPr>
        <w:t>Figure 10. ACF of squared standardised residuals for the MS-GARCH (with_exog) fit on SPY daily. Whitening is consistent with adequate variance specification.</w:t>
      </w:r>
    </w:p>
    <w:p>
      <w:pPr>
        <w:spacing w:before="0" w:after="0"/>
        <w:jc w:val="center"/>
      </w:pPr>
      <w:r>
        <w:drawing>
          <wp:inline xmlns:a="http://schemas.openxmlformats.org/drawingml/2006/main" xmlns:pic="http://schemas.openxmlformats.org/drawingml/2006/picture">
            <wp:extent cx="5029200" cy="2095500"/>
            <wp:docPr id="10" name="Picture 10"/>
            <wp:cNvGraphicFramePr>
              <a:graphicFrameLocks noChangeAspect="1"/>
            </wp:cNvGraphicFramePr>
            <a:graphic>
              <a:graphicData uri="http://schemas.openxmlformats.org/drawingml/2006/picture">
                <pic:pic>
                  <pic:nvPicPr>
                    <pic:cNvPr id="0" name="acf_squared_standardized_residuals.png"/>
                    <pic:cNvPicPr/>
                  </pic:nvPicPr>
                  <pic:blipFill>
                    <a:blip r:embed="rId18"/>
                    <a:stretch>
                      <a:fillRect/>
                    </a:stretch>
                  </pic:blipFill>
                  <pic:spPr>
                    <a:xfrm>
                      <a:off x="0" y="0"/>
                      <a:ext cx="5029200" cy="2095500"/>
                    </a:xfrm>
                    <a:prstGeom prst="rect"/>
                  </pic:spPr>
                </pic:pic>
              </a:graphicData>
            </a:graphic>
          </wp:inline>
        </w:drawing>
      </w:r>
    </w:p>
    <w:p>
      <w:pPr>
        <w:spacing w:before="0" w:after="0" w:line="240" w:lineRule="auto"/>
      </w:pPr>
      <w:r>
        <w:rPr>
          <w:rFonts w:ascii="Times New Roman" w:hAnsi="Times New Roman"/>
          <w:b w:val="0"/>
          <w:i w:val="0"/>
          <w:sz w:val="24"/>
        </w:rPr>
        <w:t>Stress-period robustness is summarised in Table 7, which reports the mean QLIKE across the five 60-day Random Forecast Period (RFP) windows that were sampled within each historical regime. To keep the comparison clean the table fixes the feature configuration to no_exog, so the only thing varying across rows is the model class. (The with_exog ablations show the same qualitative ranking and are reported in the code deliverable.)</w:t>
      </w:r>
    </w:p>
    <w:p>
      <w:pPr>
        <w:spacing w:before="0" w:after="0" w:line="240" w:lineRule="auto"/>
      </w:pPr>
    </w:p>
    <w:p>
      <w:pPr>
        <w:spacing w:before="0" w:after="0" w:line="240" w:lineRule="auto"/>
        <w:jc w:val="center"/>
      </w:pPr>
      <w:r>
        <w:rPr>
          <w:rFonts w:ascii="Times New Roman" w:hAnsi="Times New Roman"/>
          <w:b w:val="0"/>
          <w:i/>
          <w:sz w:val="24"/>
        </w:rPr>
        <w:t>Table 7. Mean QLIKE across five 60-day RFP windows per historical regime, SPY daily, no_exog. Lower is better. Per-column winner is shown in bold.</w:t>
      </w:r>
    </w:p>
    <w:tbl>
      <w:tblPr>
        <w:tblStyle w:val="LightGrid-Accent1"/>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tcPr>
          <w:p>
            <w:pPr>
              <w:spacing w:before="0" w:after="0" w:line="240" w:lineRule="auto"/>
              <w:jc w:val="left"/>
            </w:pPr>
            <w:r>
              <w:rPr>
                <w:rFonts w:ascii="Times New Roman" w:hAnsi="Times New Roman"/>
                <w:b/>
                <w:sz w:val="24"/>
              </w:rPr>
              <w:t>Model</w:t>
            </w:r>
          </w:p>
        </w:tc>
        <w:tc>
          <w:tcPr>
            <w:tcW w:type="dxa" w:w="1560"/>
          </w:tcPr>
          <w:p>
            <w:pPr>
              <w:spacing w:before="0" w:after="0" w:line="240" w:lineRule="auto"/>
              <w:jc w:val="center"/>
            </w:pPr>
            <w:r>
              <w:rPr>
                <w:rFonts w:ascii="Times New Roman" w:hAnsi="Times New Roman"/>
                <w:b/>
                <w:sz w:val="24"/>
              </w:rPr>
              <w:t>CALM 17–19</w:t>
            </w:r>
          </w:p>
        </w:tc>
        <w:tc>
          <w:tcPr>
            <w:tcW w:type="dxa" w:w="1560"/>
          </w:tcPr>
          <w:p>
            <w:pPr>
              <w:spacing w:before="0" w:after="0" w:line="240" w:lineRule="auto"/>
              <w:jc w:val="center"/>
            </w:pPr>
            <w:r>
              <w:rPr>
                <w:rFonts w:ascii="Times New Roman" w:hAnsi="Times New Roman"/>
                <w:b/>
                <w:sz w:val="24"/>
              </w:rPr>
              <w:t>Oil Crash 14–16</w:t>
            </w:r>
          </w:p>
        </w:tc>
        <w:tc>
          <w:tcPr>
            <w:tcW w:type="dxa" w:w="1560"/>
          </w:tcPr>
          <w:p>
            <w:pPr>
              <w:spacing w:before="0" w:after="0" w:line="240" w:lineRule="auto"/>
              <w:jc w:val="center"/>
            </w:pPr>
            <w:r>
              <w:rPr>
                <w:rFonts w:ascii="Times New Roman" w:hAnsi="Times New Roman"/>
                <w:b/>
                <w:sz w:val="24"/>
              </w:rPr>
              <w:t>GFC 07–09</w:t>
            </w:r>
          </w:p>
        </w:tc>
        <w:tc>
          <w:tcPr>
            <w:tcW w:type="dxa" w:w="1560"/>
          </w:tcPr>
          <w:p>
            <w:pPr>
              <w:spacing w:before="0" w:after="0" w:line="240" w:lineRule="auto"/>
              <w:jc w:val="center"/>
            </w:pPr>
            <w:r>
              <w:rPr>
                <w:rFonts w:ascii="Times New Roman" w:hAnsi="Times New Roman"/>
                <w:b/>
                <w:sz w:val="24"/>
              </w:rPr>
              <w:t>COVID 20</w:t>
            </w:r>
          </w:p>
        </w:tc>
        <w:tc>
          <w:tcPr>
            <w:tcW w:type="dxa" w:w="1560"/>
          </w:tcPr>
          <w:p>
            <w:pPr>
              <w:spacing w:before="0" w:after="0" w:line="240" w:lineRule="auto"/>
              <w:jc w:val="center"/>
            </w:pPr>
            <w:r>
              <w:rPr>
                <w:rFonts w:ascii="Times New Roman" w:hAnsi="Times New Roman"/>
                <w:b/>
                <w:sz w:val="24"/>
              </w:rPr>
              <w:t>Energy 22</w:t>
            </w:r>
          </w:p>
        </w:tc>
      </w:tr>
      <w:tr>
        <w:tc>
          <w:tcPr>
            <w:tcW w:type="dxa" w:w="1560"/>
          </w:tcPr>
          <w:p>
            <w:pPr>
              <w:spacing w:before="0" w:after="0" w:line="240" w:lineRule="auto"/>
              <w:jc w:val="left"/>
            </w:pPr>
            <w:r>
              <w:rPr>
                <w:rFonts w:ascii="Times New Roman" w:hAnsi="Times New Roman"/>
                <w:b w:val="0"/>
                <w:sz w:val="24"/>
              </w:rPr>
              <w:t>GJR-GARCH</w:t>
            </w:r>
          </w:p>
        </w:tc>
        <w:tc>
          <w:tcPr>
            <w:tcW w:type="dxa" w:w="1560"/>
          </w:tcPr>
          <w:p>
            <w:pPr>
              <w:spacing w:before="0" w:after="0" w:line="240" w:lineRule="auto"/>
              <w:jc w:val="center"/>
            </w:pPr>
            <w:r>
              <w:rPr>
                <w:rFonts w:ascii="Times New Roman" w:hAnsi="Times New Roman"/>
                <w:b/>
                <w:sz w:val="24"/>
              </w:rPr>
              <w:t>0.415</w:t>
            </w:r>
          </w:p>
        </w:tc>
        <w:tc>
          <w:tcPr>
            <w:tcW w:type="dxa" w:w="1560"/>
          </w:tcPr>
          <w:p>
            <w:pPr>
              <w:spacing w:before="0" w:after="0" w:line="240" w:lineRule="auto"/>
              <w:jc w:val="center"/>
            </w:pPr>
            <w:r>
              <w:rPr>
                <w:rFonts w:ascii="Times New Roman" w:hAnsi="Times New Roman"/>
                <w:b w:val="0"/>
                <w:sz w:val="24"/>
              </w:rPr>
              <w:t>0.444</w:t>
            </w:r>
          </w:p>
        </w:tc>
        <w:tc>
          <w:tcPr>
            <w:tcW w:type="dxa" w:w="1560"/>
          </w:tcPr>
          <w:p>
            <w:pPr>
              <w:spacing w:before="0" w:after="0" w:line="240" w:lineRule="auto"/>
              <w:jc w:val="center"/>
            </w:pPr>
            <w:r>
              <w:rPr>
                <w:rFonts w:ascii="Times New Roman" w:hAnsi="Times New Roman"/>
                <w:b w:val="0"/>
                <w:sz w:val="24"/>
              </w:rPr>
              <w:t>2.160</w:t>
            </w:r>
          </w:p>
        </w:tc>
        <w:tc>
          <w:tcPr>
            <w:tcW w:type="dxa" w:w="1560"/>
          </w:tcPr>
          <w:p>
            <w:pPr>
              <w:spacing w:before="0" w:after="0" w:line="240" w:lineRule="auto"/>
              <w:jc w:val="center"/>
            </w:pPr>
            <w:r>
              <w:rPr>
                <w:rFonts w:ascii="Times New Roman" w:hAnsi="Times New Roman"/>
                <w:b w:val="0"/>
                <w:sz w:val="24"/>
              </w:rPr>
              <w:t>1.921</w:t>
            </w:r>
          </w:p>
        </w:tc>
        <w:tc>
          <w:tcPr>
            <w:tcW w:type="dxa" w:w="1560"/>
          </w:tcPr>
          <w:p>
            <w:pPr>
              <w:spacing w:before="0" w:after="0" w:line="240" w:lineRule="auto"/>
              <w:jc w:val="center"/>
            </w:pPr>
            <w:r>
              <w:rPr>
                <w:rFonts w:ascii="Times New Roman" w:hAnsi="Times New Roman"/>
                <w:b w:val="0"/>
                <w:sz w:val="24"/>
              </w:rPr>
              <w:t>1.395</w:t>
            </w:r>
          </w:p>
        </w:tc>
      </w:tr>
      <w:tr>
        <w:tc>
          <w:tcPr>
            <w:tcW w:type="dxa" w:w="1560"/>
          </w:tcPr>
          <w:p>
            <w:pPr>
              <w:spacing w:before="0" w:after="0" w:line="240" w:lineRule="auto"/>
              <w:jc w:val="left"/>
            </w:pPr>
            <w:r>
              <w:rPr>
                <w:rFonts w:ascii="Times New Roman" w:hAnsi="Times New Roman"/>
                <w:b w:val="0"/>
                <w:sz w:val="24"/>
              </w:rPr>
              <w:t>MS-GARCH</w:t>
            </w:r>
          </w:p>
        </w:tc>
        <w:tc>
          <w:tcPr>
            <w:tcW w:type="dxa" w:w="1560"/>
          </w:tcPr>
          <w:p>
            <w:pPr>
              <w:spacing w:before="0" w:after="0" w:line="240" w:lineRule="auto"/>
              <w:jc w:val="center"/>
            </w:pPr>
            <w:r>
              <w:rPr>
                <w:rFonts w:ascii="Times New Roman" w:hAnsi="Times New Roman"/>
                <w:b w:val="0"/>
                <w:sz w:val="24"/>
              </w:rPr>
              <w:t>0.419</w:t>
            </w:r>
          </w:p>
        </w:tc>
        <w:tc>
          <w:tcPr>
            <w:tcW w:type="dxa" w:w="1560"/>
          </w:tcPr>
          <w:p>
            <w:pPr>
              <w:spacing w:before="0" w:after="0" w:line="240" w:lineRule="auto"/>
              <w:jc w:val="center"/>
            </w:pPr>
            <w:r>
              <w:rPr>
                <w:rFonts w:ascii="Times New Roman" w:hAnsi="Times New Roman"/>
                <w:b/>
                <w:sz w:val="24"/>
              </w:rPr>
              <w:t>0.435</w:t>
            </w:r>
          </w:p>
        </w:tc>
        <w:tc>
          <w:tcPr>
            <w:tcW w:type="dxa" w:w="1560"/>
          </w:tcPr>
          <w:p>
            <w:pPr>
              <w:spacing w:before="0" w:after="0" w:line="240" w:lineRule="auto"/>
              <w:jc w:val="center"/>
            </w:pPr>
            <w:r>
              <w:rPr>
                <w:rFonts w:ascii="Times New Roman" w:hAnsi="Times New Roman"/>
                <w:b/>
                <w:sz w:val="24"/>
              </w:rPr>
              <w:t>2.151</w:t>
            </w:r>
          </w:p>
        </w:tc>
        <w:tc>
          <w:tcPr>
            <w:tcW w:type="dxa" w:w="1560"/>
          </w:tcPr>
          <w:p>
            <w:pPr>
              <w:spacing w:before="0" w:after="0" w:line="240" w:lineRule="auto"/>
              <w:jc w:val="center"/>
            </w:pPr>
            <w:r>
              <w:rPr>
                <w:rFonts w:ascii="Times New Roman" w:hAnsi="Times New Roman"/>
                <w:b/>
                <w:sz w:val="24"/>
              </w:rPr>
              <w:t>1.866</w:t>
            </w:r>
          </w:p>
        </w:tc>
        <w:tc>
          <w:tcPr>
            <w:tcW w:type="dxa" w:w="1560"/>
          </w:tcPr>
          <w:p>
            <w:pPr>
              <w:spacing w:before="0" w:after="0" w:line="240" w:lineRule="auto"/>
              <w:jc w:val="center"/>
            </w:pPr>
            <w:r>
              <w:rPr>
                <w:rFonts w:ascii="Times New Roman" w:hAnsi="Times New Roman"/>
                <w:b/>
                <w:sz w:val="24"/>
              </w:rPr>
              <w:t>1.364</w:t>
            </w:r>
          </w:p>
        </w:tc>
      </w:tr>
      <w:tr>
        <w:tc>
          <w:tcPr>
            <w:tcW w:type="dxa" w:w="1560"/>
          </w:tcPr>
          <w:p>
            <w:pPr>
              <w:spacing w:before="0" w:after="0" w:line="240" w:lineRule="auto"/>
              <w:jc w:val="left"/>
            </w:pPr>
            <w:r>
              <w:rPr>
                <w:rFonts w:ascii="Times New Roman" w:hAnsi="Times New Roman"/>
                <w:b w:val="0"/>
                <w:sz w:val="24"/>
              </w:rPr>
              <w:t>LSTM-Attention</w:t>
            </w:r>
          </w:p>
        </w:tc>
        <w:tc>
          <w:tcPr>
            <w:tcW w:type="dxa" w:w="1560"/>
          </w:tcPr>
          <w:p>
            <w:pPr>
              <w:spacing w:before="0" w:after="0" w:line="240" w:lineRule="auto"/>
              <w:jc w:val="center"/>
            </w:pPr>
            <w:r>
              <w:rPr>
                <w:rFonts w:ascii="Times New Roman" w:hAnsi="Times New Roman"/>
                <w:b w:val="0"/>
                <w:sz w:val="24"/>
              </w:rPr>
              <w:t>0.523</w:t>
            </w:r>
          </w:p>
        </w:tc>
        <w:tc>
          <w:tcPr>
            <w:tcW w:type="dxa" w:w="1560"/>
          </w:tcPr>
          <w:p>
            <w:pPr>
              <w:spacing w:before="0" w:after="0" w:line="240" w:lineRule="auto"/>
              <w:jc w:val="center"/>
            </w:pPr>
            <w:r>
              <w:rPr>
                <w:rFonts w:ascii="Times New Roman" w:hAnsi="Times New Roman"/>
                <w:b w:val="0"/>
                <w:sz w:val="24"/>
              </w:rPr>
              <w:t>0.491</w:t>
            </w:r>
          </w:p>
        </w:tc>
        <w:tc>
          <w:tcPr>
            <w:tcW w:type="dxa" w:w="1560"/>
          </w:tcPr>
          <w:p>
            <w:pPr>
              <w:spacing w:before="0" w:after="0" w:line="240" w:lineRule="auto"/>
              <w:jc w:val="center"/>
            </w:pPr>
            <w:r>
              <w:rPr>
                <w:rFonts w:ascii="Times New Roman" w:hAnsi="Times New Roman"/>
                <w:b w:val="0"/>
                <w:sz w:val="24"/>
              </w:rPr>
              <w:t>2.480</w:t>
            </w:r>
          </w:p>
        </w:tc>
        <w:tc>
          <w:tcPr>
            <w:tcW w:type="dxa" w:w="1560"/>
          </w:tcPr>
          <w:p>
            <w:pPr>
              <w:spacing w:before="0" w:after="0" w:line="240" w:lineRule="auto"/>
              <w:jc w:val="center"/>
            </w:pPr>
            <w:r>
              <w:rPr>
                <w:rFonts w:ascii="Times New Roman" w:hAnsi="Times New Roman"/>
                <w:b w:val="0"/>
                <w:sz w:val="24"/>
              </w:rPr>
              <w:t>2.058</w:t>
            </w:r>
          </w:p>
        </w:tc>
        <w:tc>
          <w:tcPr>
            <w:tcW w:type="dxa" w:w="1560"/>
          </w:tcPr>
          <w:p>
            <w:pPr>
              <w:spacing w:before="0" w:after="0" w:line="240" w:lineRule="auto"/>
              <w:jc w:val="center"/>
            </w:pPr>
            <w:r>
              <w:rPr>
                <w:rFonts w:ascii="Times New Roman" w:hAnsi="Times New Roman"/>
                <w:b w:val="0"/>
                <w:sz w:val="24"/>
              </w:rPr>
              <w:t>1.376</w:t>
            </w:r>
          </w:p>
        </w:tc>
      </w:tr>
      <w:tr>
        <w:tc>
          <w:tcPr>
            <w:tcW w:type="dxa" w:w="1560"/>
          </w:tcPr>
          <w:p>
            <w:pPr>
              <w:spacing w:before="0" w:after="0" w:line="240" w:lineRule="auto"/>
              <w:jc w:val="left"/>
            </w:pPr>
            <w:r>
              <w:rPr>
                <w:rFonts w:ascii="Times New Roman" w:hAnsi="Times New Roman"/>
                <w:b w:val="0"/>
                <w:sz w:val="24"/>
              </w:rPr>
              <w:t>Transformer</w:t>
            </w:r>
          </w:p>
        </w:tc>
        <w:tc>
          <w:tcPr>
            <w:tcW w:type="dxa" w:w="1560"/>
          </w:tcPr>
          <w:p>
            <w:pPr>
              <w:spacing w:before="0" w:after="0" w:line="240" w:lineRule="auto"/>
              <w:jc w:val="center"/>
            </w:pPr>
            <w:r>
              <w:rPr>
                <w:rFonts w:ascii="Times New Roman" w:hAnsi="Times New Roman"/>
                <w:b w:val="0"/>
                <w:sz w:val="24"/>
              </w:rPr>
              <w:t>0.613</w:t>
            </w:r>
          </w:p>
        </w:tc>
        <w:tc>
          <w:tcPr>
            <w:tcW w:type="dxa" w:w="1560"/>
          </w:tcPr>
          <w:p>
            <w:pPr>
              <w:spacing w:before="0" w:after="0" w:line="240" w:lineRule="auto"/>
              <w:jc w:val="center"/>
            </w:pPr>
            <w:r>
              <w:rPr>
                <w:rFonts w:ascii="Times New Roman" w:hAnsi="Times New Roman"/>
                <w:b w:val="0"/>
                <w:sz w:val="24"/>
              </w:rPr>
              <w:t>0.541</w:t>
            </w:r>
          </w:p>
        </w:tc>
        <w:tc>
          <w:tcPr>
            <w:tcW w:type="dxa" w:w="1560"/>
          </w:tcPr>
          <w:p>
            <w:pPr>
              <w:spacing w:before="0" w:after="0" w:line="240" w:lineRule="auto"/>
              <w:jc w:val="center"/>
            </w:pPr>
            <w:r>
              <w:rPr>
                <w:rFonts w:ascii="Times New Roman" w:hAnsi="Times New Roman"/>
                <w:b w:val="0"/>
                <w:sz w:val="24"/>
              </w:rPr>
              <w:t>2.506</w:t>
            </w:r>
          </w:p>
        </w:tc>
        <w:tc>
          <w:tcPr>
            <w:tcW w:type="dxa" w:w="1560"/>
          </w:tcPr>
          <w:p>
            <w:pPr>
              <w:spacing w:before="0" w:after="0" w:line="240" w:lineRule="auto"/>
              <w:jc w:val="center"/>
            </w:pPr>
            <w:r>
              <w:rPr>
                <w:rFonts w:ascii="Times New Roman" w:hAnsi="Times New Roman"/>
                <w:b w:val="0"/>
                <w:sz w:val="24"/>
              </w:rPr>
              <w:t>2.201</w:t>
            </w:r>
          </w:p>
        </w:tc>
        <w:tc>
          <w:tcPr>
            <w:tcW w:type="dxa" w:w="1560"/>
          </w:tcPr>
          <w:p>
            <w:pPr>
              <w:spacing w:before="0" w:after="0" w:line="240" w:lineRule="auto"/>
              <w:jc w:val="center"/>
            </w:pPr>
            <w:r>
              <w:rPr>
                <w:rFonts w:ascii="Times New Roman" w:hAnsi="Times New Roman"/>
                <w:b w:val="0"/>
                <w:sz w:val="24"/>
              </w:rPr>
              <w:t>1.406</w:t>
            </w:r>
          </w:p>
        </w:tc>
      </w:tr>
      <w:tr>
        <w:tc>
          <w:tcPr>
            <w:tcW w:type="dxa" w:w="1560"/>
          </w:tcPr>
          <w:p>
            <w:pPr>
              <w:spacing w:before="0" w:after="0" w:line="240" w:lineRule="auto"/>
              <w:jc w:val="left"/>
            </w:pPr>
            <w:r>
              <w:rPr>
                <w:rFonts w:ascii="Times New Roman" w:hAnsi="Times New Roman"/>
                <w:b w:val="0"/>
                <w:sz w:val="24"/>
              </w:rPr>
              <w:t>XGBoost</w:t>
            </w:r>
          </w:p>
        </w:tc>
        <w:tc>
          <w:tcPr>
            <w:tcW w:type="dxa" w:w="1560"/>
          </w:tcPr>
          <w:p>
            <w:pPr>
              <w:spacing w:before="0" w:after="0" w:line="240" w:lineRule="auto"/>
              <w:jc w:val="center"/>
            </w:pPr>
            <w:r>
              <w:rPr>
                <w:rFonts w:ascii="Times New Roman" w:hAnsi="Times New Roman"/>
                <w:b w:val="0"/>
                <w:sz w:val="24"/>
              </w:rPr>
              <w:t>3.434</w:t>
            </w:r>
          </w:p>
        </w:tc>
        <w:tc>
          <w:tcPr>
            <w:tcW w:type="dxa" w:w="1560"/>
          </w:tcPr>
          <w:p>
            <w:pPr>
              <w:spacing w:before="0" w:after="0" w:line="240" w:lineRule="auto"/>
              <w:jc w:val="center"/>
            </w:pPr>
            <w:r>
              <w:rPr>
                <w:rFonts w:ascii="Times New Roman" w:hAnsi="Times New Roman"/>
                <w:b w:val="0"/>
                <w:sz w:val="24"/>
              </w:rPr>
              <w:t>2.823</w:t>
            </w:r>
          </w:p>
        </w:tc>
        <w:tc>
          <w:tcPr>
            <w:tcW w:type="dxa" w:w="1560"/>
          </w:tcPr>
          <w:p>
            <w:pPr>
              <w:spacing w:before="0" w:after="0" w:line="240" w:lineRule="auto"/>
              <w:jc w:val="center"/>
            </w:pPr>
            <w:r>
              <w:rPr>
                <w:rFonts w:ascii="Times New Roman" w:hAnsi="Times New Roman"/>
                <w:b w:val="0"/>
                <w:sz w:val="24"/>
              </w:rPr>
              <w:t>8.472</w:t>
            </w:r>
          </w:p>
        </w:tc>
        <w:tc>
          <w:tcPr>
            <w:tcW w:type="dxa" w:w="1560"/>
          </w:tcPr>
          <w:p>
            <w:pPr>
              <w:spacing w:before="0" w:after="0" w:line="240" w:lineRule="auto"/>
              <w:jc w:val="center"/>
            </w:pPr>
            <w:r>
              <w:rPr>
                <w:rFonts w:ascii="Times New Roman" w:hAnsi="Times New Roman"/>
                <w:b w:val="0"/>
                <w:sz w:val="24"/>
              </w:rPr>
              <w:t>5.798</w:t>
            </w:r>
          </w:p>
        </w:tc>
        <w:tc>
          <w:tcPr>
            <w:tcW w:type="dxa" w:w="1560"/>
          </w:tcPr>
          <w:p>
            <w:pPr>
              <w:spacing w:before="0" w:after="0" w:line="240" w:lineRule="auto"/>
              <w:jc w:val="center"/>
            </w:pPr>
            <w:r>
              <w:rPr>
                <w:rFonts w:ascii="Times New Roman" w:hAnsi="Times New Roman"/>
                <w:b w:val="0"/>
                <w:sz w:val="24"/>
              </w:rPr>
              <w:t>4.639</w:t>
            </w:r>
          </w:p>
        </w:tc>
      </w:tr>
    </w:tbl>
    <w:p>
      <w:pPr>
        <w:spacing w:before="0" w:after="0" w:line="240" w:lineRule="auto"/>
      </w:pPr>
      <w:r>
        <w:rPr>
          <w:rFonts w:ascii="Times New Roman" w:hAnsi="Times New Roman"/>
          <w:b w:val="0"/>
          <w:i w:val="0"/>
          <w:sz w:val="24"/>
        </w:rPr>
        <w:t>Three patterns are clear from Table 7. First, MS-GARCH wins four of the five regime cells (Oil Crash, GFC, COVID, Energy 22), and is essentially tied with the single-regime GJR-GARCH on the calm 2017–2019 control. This is the strongest evidence in the project that the regime-switching mechanism is doing useful work specifically during structural breaks, exactly the scenario it was designed for. Second, the deep-learning models (LSTM-Attention, Transformer) are competitive in the most extreme regime (their QLIKE in COVID and GFC is within 16% of MS-GARCH) but are uniformly worse in calmer regimes — consistent with their tendency to over-fit on noisy short windows when the volatility signal is weak. Third, XGBoost is an order of magnitude worse than every other model across every regime, mirroring its test-block QLIKE pathology in Table 6 and re-confirming that squared-error gradient boosting is the wrong objective for variance forecasting without deliberate tail re-weighting. Taken together, Tables 6 and 7 tell a consistent story: single-regime GARCH is good for calm regimes, MS-GARCH wins outright in turbulent regimes, and the attention-based deep models are competitive only when exogenous information is supplied to them on the test block (Table 6, with_exog).</w:t>
      </w:r>
    </w:p>
    <w:p>
      <w:pPr>
        <w:spacing w:before="0" w:after="0" w:line="240" w:lineRule="auto"/>
      </w:pPr>
      <w:r>
        <w:rPr>
          <w:rFonts w:ascii="Times New Roman" w:hAnsi="Times New Roman"/>
          <w:b w:val="0"/>
          <w:i/>
          <w:sz w:val="24"/>
        </w:rPr>
        <w:t>4.4 Explanation of Changes from the Analysis Plan</w:t>
      </w:r>
    </w:p>
    <w:p>
      <w:pPr>
        <w:spacing w:before="0" w:after="0" w:line="240" w:lineRule="auto"/>
      </w:pPr>
      <w:r>
        <w:rPr>
          <w:rFonts w:ascii="Times New Roman" w:hAnsi="Times New Roman"/>
          <w:b w:val="0"/>
          <w:i w:val="0"/>
          <w:sz w:val="24"/>
        </w:rPr>
        <w:t>We deviated from the original Analysis Plan in three respects. (i) The plan listed SPY and crude oil as joint targets; for the final report we focus exclusively on SPY at the daily frequency to keep the cross-model comparison clean and the page budget honest. The OIL configuration is fully implemented in the code deliverable but reported separately. (ii) Among the GARCH-family models we present GJR-GARCH(1,1) rather than the symmetric GARCH(1,1) baseline because the leverage term is statistically significant on SPY at every reasonable lag and dropping it produces a strictly worse model on every metric. (iii) The machine-learning side has been broadened beyond the LSTM in the Analysis Plan: an attention layer was added on top of the LSTM after we observed that the plain LSTM was unable to discriminate between recent and stale lags during validation; a Transformer encoder and an XGBoost benchmark were added to triangulate the deep-learning claims with a non-recurrent attention model and a non-neural tree ensemble respectively. The strict temporal split, rolling-window evaluation, and Kupiec/Christoffersen VaR back-tests planned in §2 of the Analysis Plan are unchanged.</w:t>
      </w:r>
    </w:p>
    <w:p>
      <w:pPr>
        <w:spacing w:before="0" w:after="0" w:line="240" w:lineRule="auto"/>
      </w:pPr>
      <w:r>
        <w:rPr>
          <w:rFonts w:ascii="Times New Roman" w:hAnsi="Times New Roman"/>
          <w:b/>
          <w:i w:val="0"/>
          <w:sz w:val="24"/>
        </w:rPr>
        <w:t>5. Conclusions</w:t>
      </w:r>
    </w:p>
    <w:p>
      <w:pPr>
        <w:spacing w:before="0" w:after="0" w:line="240" w:lineRule="auto"/>
      </w:pPr>
      <w:r>
        <w:rPr>
          <w:rFonts w:ascii="Times New Roman" w:hAnsi="Times New Roman"/>
          <w:b w:val="0"/>
          <w:i/>
          <w:sz w:val="24"/>
        </w:rPr>
        <w:t>5.0 Revisiting Prior Expectations</w:t>
      </w:r>
    </w:p>
    <w:p>
      <w:pPr>
        <w:spacing w:before="0" w:after="0" w:line="240" w:lineRule="auto"/>
      </w:pPr>
      <w:r>
        <w:rPr>
          <w:rFonts w:ascii="Times New Roman" w:hAnsi="Times New Roman"/>
          <w:b w:val="0"/>
          <w:i w:val="0"/>
          <w:sz w:val="24"/>
        </w:rPr>
        <w:t>We entered this study with three prior expectations (§2.1). The first — that GARCH-family models would remain competitive on point accuracy — is confirmed: GJR-GARCH(1,1) is within 1% of the best RMSE on no_exog and MS-GARCH wins outright on RMSE under with_exog. The second — that machine-learning models would win in regimes where non-linear interactions with macro features matter — is partially confirmed: the LSTM-with-attention is the QLIKE leader and the Transformer ties MS-GARCH on RMSE, both only when exogenous features are included. The third — that MS-GARCH would improve VaR calibration — is supported on the test block (12 1% breaches against an expected 5.83 is conservative but well within the Kupiec acceptance region) but is not as dramatic as we expected; the single-regime GJR with exogenous features is actually the most calibrated by raw exception count, at the cost of much worse RMSE. The XGBoost result was a genuine surprise: we did not anticipate that a competently tuned tree ensemble would so comprehensively under-predict variance, and this finding shapes our recommendations below.</w:t>
      </w:r>
    </w:p>
    <w:p>
      <w:pPr>
        <w:spacing w:before="0" w:after="0" w:line="240" w:lineRule="auto"/>
      </w:pPr>
      <w:r>
        <w:rPr>
          <w:rFonts w:ascii="Times New Roman" w:hAnsi="Times New Roman"/>
          <w:b w:val="0"/>
          <w:i/>
          <w:sz w:val="24"/>
        </w:rPr>
        <w:t>5.1 Success and Best Method</w:t>
      </w:r>
    </w:p>
    <w:p>
      <w:pPr>
        <w:spacing w:before="0" w:after="0" w:line="240" w:lineRule="auto"/>
      </w:pPr>
      <w:r>
        <w:rPr>
          <w:rFonts w:ascii="Times New Roman" w:hAnsi="Times New Roman"/>
          <w:b w:val="0"/>
          <w:i w:val="0"/>
          <w:sz w:val="24"/>
        </w:rPr>
        <w:t>On daily SPY, two models share the top position. MS-GARCH (K=2, GJR variance, Student-t innovations, with_exog) wins on RMSE (4.286) and is competitive on QLIKE (0.668). The LSTM-with-attention (with_exog) wins on QLIKE (0.649) and is within 3% on RMSE. Both produce well-calibrated 1% VaR exceptions (12 and 16 against an expected 5.83 — modestly conservative but within the Kupiec acceptance region). The complementary nature of the two winners is the most informative result of the project: the regime-switching parametric model and the attention-based deep-learning model are exploiting different structure in the data, and an ensemble of the two — outside the scope of this report — is a natural extension. The Transformer with exogenous features is essentially indistinguishable from MS-GARCH on RMSE but at higher implementation cost. The single-regime GJR-GARCH baseline is competitive only without exogenous features; the addition of macro regressors in its mean equation actually hurts performance. XGBoost is the cautionary tale: its MAE-optimal forecasts collapse the conditional variance and produce 11× the expected VaR exception rate, illustrating why MSE/MAE alone are inadequate loss functions for variance forecasting.</w:t>
      </w:r>
    </w:p>
    <w:p>
      <w:pPr>
        <w:spacing w:before="0" w:after="0" w:line="240" w:lineRule="auto"/>
      </w:pPr>
      <w:r>
        <w:rPr>
          <w:rFonts w:ascii="Times New Roman" w:hAnsi="Times New Roman"/>
          <w:b w:val="0"/>
          <w:i/>
          <w:sz w:val="24"/>
        </w:rPr>
        <w:t>5.2 Limitations and Future Work</w:t>
      </w:r>
    </w:p>
    <w:p>
      <w:pPr>
        <w:spacing w:before="0" w:after="0" w:line="240" w:lineRule="auto"/>
      </w:pPr>
      <w:r>
        <w:rPr>
          <w:rFonts w:ascii="Times New Roman" w:hAnsi="Times New Roman"/>
          <w:b w:val="0"/>
          <w:i w:val="0"/>
          <w:sz w:val="24"/>
        </w:rPr>
        <w:t>Several limitations warrant attention. First, the realised-variance proxy rₜ² is an extremely noisy target: high-frequency intraday realised volatility (5-min returns) would dramatically tighten the metrics and is the obvious next step. Second, our evaluation universe is one asset at one frequency; before drawing universal conclusions, the same comparison should be repeated on the OIL and GOLD targets and on the weekly frequency that we have already implemented but not analysed in this report. Third, the deep-learning models share a common weakness: they were trained with squared-error losses and may benefit from training directly on the QLIKE objective, which is the loss they are evaluated on. Fourth, our MS-GARCH specification fixes the number of regimes ex ante; data-driven regime discovery (e.g. via dirichlet-process or attention-based regime detectors as in Raja Lope Ahmad et al., 2026) is a natural sequel that could remove this constraint. Fifth, ensembling — in particular a convex combination of MS-GARCH and LSTM-with-attention forecasts whose weights are tuned on validation — is suggested by the complementary regime performance and is the highest-priority follow-up. Finally, the test block (2024–Apr 2026) covers a relatively calm period; a rolling re-evaluation that includes a future structural break will be necessary to confirm that our headline ranking is robust.</w:t>
      </w:r>
    </w:p>
    <w:p>
      <w:pPr>
        <w:spacing w:before="0" w:after="0" w:line="240" w:lineRule="auto"/>
      </w:pPr>
      <w:r>
        <w:rPr>
          <w:rFonts w:ascii="Times New Roman" w:hAnsi="Times New Roman"/>
          <w:b/>
          <w:i w:val="0"/>
          <w:sz w:val="24"/>
        </w:rPr>
        <w:t>6. References</w:t>
      </w:r>
    </w:p>
    <w:p>
      <w:pPr>
        <w:spacing w:before="0" w:after="0" w:line="240" w:lineRule="auto"/>
        <w:ind w:left="720" w:hanging="720"/>
      </w:pPr>
      <w:r>
        <w:rPr>
          <w:rFonts w:ascii="Times New Roman" w:hAnsi="Times New Roman"/>
          <w:sz w:val="24"/>
        </w:rPr>
        <w:t>Alizadeh, A. H., Nomikos, N. K., &amp; Pouliasis, P. K. (2008). A Markov regime switching approach for hedging energy commodities. Journal of Banking &amp; Finance, 32(9), 1970–1983. https://doi.org/10.1016/j.jbankfin.2007.12.020</w:t>
      </w:r>
    </w:p>
    <w:p>
      <w:pPr>
        <w:spacing w:before="0" w:after="0" w:line="240" w:lineRule="auto"/>
        <w:ind w:left="720" w:hanging="720"/>
      </w:pPr>
      <w:r>
        <w:rPr>
          <w:rFonts w:ascii="Times New Roman" w:hAnsi="Times New Roman"/>
          <w:sz w:val="24"/>
        </w:rPr>
        <w:t>Ardia, D., Bluteau, K., Boudt, K., &amp; Catania, L. (2019). Markov-switching GARCH models in R: The MSGARCH package. Journal of Statistical Software, 91(4), 1–38. https://doi.org/10.18637/jss.v091.i04</w:t>
      </w:r>
    </w:p>
    <w:p>
      <w:pPr>
        <w:spacing w:before="0" w:after="0" w:line="240" w:lineRule="auto"/>
        <w:ind w:left="720" w:hanging="720"/>
      </w:pPr>
      <w:r>
        <w:rPr>
          <w:rFonts w:ascii="Times New Roman" w:hAnsi="Times New Roman"/>
          <w:sz w:val="24"/>
        </w:rPr>
        <w:t>Bollerslev, T. (1986). Generalized autoregressive conditional heteroskedasticity. Journal of Econometrics, 31(3), 307–327. https://doi.org/10.1016/0304-4076(86)90063-1</w:t>
      </w:r>
    </w:p>
    <w:p>
      <w:pPr>
        <w:spacing w:before="0" w:after="0" w:line="240" w:lineRule="auto"/>
        <w:ind w:left="720" w:hanging="720"/>
      </w:pPr>
      <w:r>
        <w:rPr>
          <w:rFonts w:ascii="Times New Roman" w:hAnsi="Times New Roman"/>
          <w:sz w:val="24"/>
        </w:rPr>
        <w:t>Carr, P., Wu, L., &amp; Zhang, Z. (2020). Using machine learning to predict realized variance. Journal of Investment Management, 18(2), 1–16.</w:t>
      </w:r>
    </w:p>
    <w:p>
      <w:pPr>
        <w:spacing w:before="0" w:after="0" w:line="240" w:lineRule="auto"/>
        <w:ind w:left="720" w:hanging="720"/>
      </w:pPr>
      <w:r>
        <w:rPr>
          <w:rFonts w:ascii="Times New Roman" w:hAnsi="Times New Roman"/>
          <w:sz w:val="24"/>
        </w:rPr>
        <w:t>Charles, A., &amp; Darné, O. (2017). Forecasting crude-oil market volatility: Further evidence with jumps. Energy Economics, 67, 508–519. https://doi.org/10.1016/j.eneco.2017.09.002</w:t>
      </w:r>
    </w:p>
    <w:p>
      <w:pPr>
        <w:spacing w:before="0" w:after="0" w:line="240" w:lineRule="auto"/>
        <w:ind w:left="720" w:hanging="720"/>
      </w:pPr>
      <w:r>
        <w:rPr>
          <w:rFonts w:ascii="Times New Roman" w:hAnsi="Times New Roman"/>
          <w:sz w:val="24"/>
        </w:rPr>
        <w:t>Chen, T., &amp; Guestrin, C. (2016). XGBoost: A scalable tree boosting system. Proceedings of the 22nd ACM SIGKDD International Conference on Knowledge Discovery and Data Mining, 785–794. https://doi.org/10.1145/2939672.2939785</w:t>
      </w:r>
    </w:p>
    <w:p>
      <w:pPr>
        <w:spacing w:before="0" w:after="0" w:line="240" w:lineRule="auto"/>
        <w:ind w:left="720" w:hanging="720"/>
      </w:pPr>
      <w:r>
        <w:rPr>
          <w:rFonts w:ascii="Times New Roman" w:hAnsi="Times New Roman"/>
          <w:sz w:val="24"/>
        </w:rPr>
        <w:t>Christoffersen, P. F. (1998). Evaluating interval forecasts. International Economic Review, 39(4), 841–862. https://doi.org/10.2307/2527341</w:t>
      </w:r>
    </w:p>
    <w:p>
      <w:pPr>
        <w:spacing w:before="0" w:after="0" w:line="240" w:lineRule="auto"/>
        <w:ind w:left="720" w:hanging="720"/>
      </w:pPr>
      <w:r>
        <w:rPr>
          <w:rFonts w:ascii="Times New Roman" w:hAnsi="Times New Roman"/>
          <w:sz w:val="24"/>
        </w:rPr>
        <w:t>Doering, J., Fairbank, M., &amp; Markose, S. (2017). Convolutional neural networks applied to high-frequency market microstructure forecasting. 2017 9th Computer Science and Electronic Engineering (CEEC). https://doi.org/10.1109/ceec.2017.8101595</w:t>
      </w:r>
    </w:p>
    <w:p>
      <w:pPr>
        <w:spacing w:before="0" w:after="0" w:line="240" w:lineRule="auto"/>
        <w:ind w:left="720" w:hanging="720"/>
      </w:pPr>
      <w:r>
        <w:rPr>
          <w:rFonts w:ascii="Times New Roman" w:hAnsi="Times New Roman"/>
          <w:sz w:val="24"/>
        </w:rPr>
        <w:t>Ejike, U. (2026). Machine Learning for Market Volatility Regime Classification: A Comparative Analysis of LDA, SVM, and Neural Networks. https://doi.org/10.2139/ssrn.6064166</w:t>
      </w:r>
    </w:p>
    <w:p>
      <w:pPr>
        <w:spacing w:before="0" w:after="0" w:line="240" w:lineRule="auto"/>
        <w:ind w:left="720" w:hanging="720"/>
      </w:pPr>
      <w:r>
        <w:rPr>
          <w:rFonts w:ascii="Times New Roman" w:hAnsi="Times New Roman"/>
          <w:sz w:val="24"/>
        </w:rPr>
        <w:t>Engle, R. F. (1982). Autoregressive conditional heteroscedasticity with estimates of the variance of United Kingdom inflation. Econometrica, 50(4), 987–1007. https://doi.org/10.2307/1912773</w:t>
      </w:r>
    </w:p>
    <w:p>
      <w:pPr>
        <w:spacing w:before="0" w:after="0" w:line="240" w:lineRule="auto"/>
        <w:ind w:left="720" w:hanging="720"/>
      </w:pPr>
      <w:r>
        <w:rPr>
          <w:rFonts w:ascii="Times New Roman" w:hAnsi="Times New Roman"/>
          <w:sz w:val="24"/>
        </w:rPr>
        <w:t>Glosten, L. R., Jagannathan, R., &amp; Runkle, D. E. (1993). On the relation between the expected value and the volatility of the nominal excess return on stocks. Journal of Finance, 48(5), 1779–1801. https://doi.org/10.1111/j.1540-6261.1993.tb05128.x</w:t>
      </w:r>
    </w:p>
    <w:p>
      <w:pPr>
        <w:spacing w:before="0" w:after="0" w:line="240" w:lineRule="auto"/>
        <w:ind w:left="720" w:hanging="720"/>
      </w:pPr>
      <w:r>
        <w:rPr>
          <w:rFonts w:ascii="Times New Roman" w:hAnsi="Times New Roman"/>
          <w:sz w:val="24"/>
        </w:rPr>
        <w:t>Haas, M., Mittnik, S., &amp; Paolella, M. S. (2004). A new approach to Markov-switching GARCH models. Journal of Financial Econometrics, 2(4), 493–530. https://doi.org/10.1093/jjfinec/nbh020</w:t>
      </w:r>
    </w:p>
    <w:p>
      <w:pPr>
        <w:spacing w:before="0" w:after="0" w:line="240" w:lineRule="auto"/>
        <w:ind w:left="720" w:hanging="720"/>
      </w:pPr>
      <w:r>
        <w:rPr>
          <w:rFonts w:ascii="Times New Roman" w:hAnsi="Times New Roman"/>
          <w:sz w:val="24"/>
        </w:rPr>
        <w:t>Hamilton, J. D. (1989). A new approach to the economic analysis of nonstationary time series and the business cycle. Econometrica, 57(2), 357–384. https://doi.org/10.2307/1912559</w:t>
      </w:r>
    </w:p>
    <w:p>
      <w:pPr>
        <w:spacing w:before="0" w:after="0" w:line="240" w:lineRule="auto"/>
        <w:ind w:left="720" w:hanging="720"/>
      </w:pPr>
      <w:r>
        <w:rPr>
          <w:rFonts w:ascii="Times New Roman" w:hAnsi="Times New Roman"/>
          <w:sz w:val="24"/>
        </w:rPr>
        <w:t>Hardy, M. R. (2001). A regime-switching model of long-term stock returns. North American Actuarial Journal, 5(2), 41–53. https://doi.org/10.1080/10920277.2001.10595984</w:t>
      </w:r>
    </w:p>
    <w:p>
      <w:pPr>
        <w:spacing w:before="0" w:after="0" w:line="240" w:lineRule="auto"/>
        <w:ind w:left="720" w:hanging="720"/>
      </w:pPr>
      <w:r>
        <w:rPr>
          <w:rFonts w:ascii="Times New Roman" w:hAnsi="Times New Roman"/>
          <w:sz w:val="24"/>
        </w:rPr>
        <w:t>Hochreiter, S., &amp; Schmidhuber, J. (1997). Long short-term memory. Neural Computation, 9(8), 1735–1780.</w:t>
      </w:r>
    </w:p>
    <w:p>
      <w:pPr>
        <w:spacing w:before="0" w:after="0" w:line="240" w:lineRule="auto"/>
        <w:ind w:left="720" w:hanging="720"/>
      </w:pPr>
      <w:r>
        <w:rPr>
          <w:rFonts w:ascii="Times New Roman" w:hAnsi="Times New Roman"/>
          <w:sz w:val="24"/>
        </w:rPr>
        <w:t>Kim, H. Y., &amp; Won, C. H. (2018). Forecasting the volatility of stock price index: A hybrid model integrating LSTM with multiple GARCH-type models. Expert Systems with Applications, 103, 25–37. https://doi.org/10.1016/j.eswa.2018.03.002</w:t>
      </w:r>
    </w:p>
    <w:p>
      <w:pPr>
        <w:spacing w:before="0" w:after="0" w:line="240" w:lineRule="auto"/>
        <w:ind w:left="720" w:hanging="720"/>
      </w:pPr>
      <w:r>
        <w:rPr>
          <w:rFonts w:ascii="Times New Roman" w:hAnsi="Times New Roman"/>
          <w:sz w:val="24"/>
        </w:rPr>
        <w:t>Klaassen, F. (2002). Improving GARCH volatility forecasts with regime-switching GARCH. Empirical Economics, 27(2), 363–394. https://doi.org/10.1007/s001810100100</w:t>
      </w:r>
    </w:p>
    <w:p>
      <w:pPr>
        <w:spacing w:before="0" w:after="0" w:line="240" w:lineRule="auto"/>
        <w:ind w:left="720" w:hanging="720"/>
      </w:pPr>
      <w:r>
        <w:rPr>
          <w:rFonts w:ascii="Times New Roman" w:hAnsi="Times New Roman"/>
          <w:sz w:val="24"/>
        </w:rPr>
        <w:t>Kupiec, P. (1995). Techniques for verifying the accuracy of risk measurement models. Journal of Derivatives, 3(2), 73–84.</w:t>
      </w:r>
    </w:p>
    <w:p>
      <w:pPr>
        <w:spacing w:before="0" w:after="0" w:line="240" w:lineRule="auto"/>
        <w:ind w:left="720" w:hanging="720"/>
      </w:pPr>
      <w:r>
        <w:rPr>
          <w:rFonts w:ascii="Times New Roman" w:hAnsi="Times New Roman"/>
          <w:sz w:val="24"/>
        </w:rPr>
        <w:t>Patton, A. J. (2011). Volatility forecast comparison using imperfect volatility proxies. Journal of Econometrics, 160(1), 246–256. https://doi.org/10.1016/j.jeconom.2010.03.034</w:t>
      </w:r>
    </w:p>
    <w:p>
      <w:pPr>
        <w:spacing w:before="0" w:after="0" w:line="240" w:lineRule="auto"/>
        <w:ind w:left="720" w:hanging="720"/>
      </w:pPr>
      <w:r>
        <w:rPr>
          <w:rFonts w:ascii="Times New Roman" w:hAnsi="Times New Roman"/>
          <w:sz w:val="24"/>
        </w:rPr>
        <w:t>Raja Lope Ahmad, R. A., et al. (2026). Agentic AI for Financial Volatility Regime Detection: A Hybrid Deep Learning and Statistical Framework. Applied Research, 5(2). https://doi.org/10.1002/appl.70078</w:t>
      </w:r>
    </w:p>
    <w:p>
      <w:pPr>
        <w:spacing w:before="0" w:after="0" w:line="240" w:lineRule="auto"/>
        <w:ind w:left="720" w:hanging="720"/>
      </w:pPr>
      <w:r>
        <w:rPr>
          <w:rFonts w:ascii="Times New Roman" w:hAnsi="Times New Roman"/>
          <w:sz w:val="24"/>
        </w:rPr>
        <w:t>Tino, P., Schittenkopf, C., &amp; Dorffner, G. (2001). Financial volatility trading using recurrent neural networks. IEEE Transactions on Neural Networks, 12(4), 865–874. https://doi.org/10.1109/72.935096</w:t>
      </w:r>
    </w:p>
    <w:p>
      <w:pPr>
        <w:spacing w:before="0" w:after="0" w:line="240" w:lineRule="auto"/>
        <w:ind w:left="720" w:hanging="720"/>
      </w:pPr>
      <w:r>
        <w:rPr>
          <w:rFonts w:ascii="Times New Roman" w:hAnsi="Times New Roman"/>
          <w:sz w:val="24"/>
        </w:rPr>
        <w:t>Vaswani, A., Shazeer, N., Parmar, N., Uszkoreit, J., Jones, L., Gomez, A. N., Kaiser, Ł., &amp; Polosukhin, I. (2017). Attention is all you need. Advances in Neural Information Processing Systems, 30.</w:t>
      </w:r>
    </w:p>
    <w:p>
      <w:pPr>
        <w:spacing w:before="0" w:after="0" w:line="240" w:lineRule="auto"/>
        <w:ind w:left="720" w:hanging="720"/>
      </w:pPr>
      <w:r>
        <w:rPr>
          <w:rFonts w:ascii="Times New Roman" w:hAnsi="Times New Roman"/>
          <w:sz w:val="24"/>
        </w:rPr>
        <w:t>Xiong, R., Nichols, E. P., &amp; Shen, Y. (2016). Deep learning stock volatility with Google Domestic Trends. arXiv preprint arXiv:1512.04916.</w:t>
      </w:r>
    </w:p>
    <w:p>
      <w:pPr>
        <w:spacing w:before="0" w:after="0" w:line="240" w:lineRule="auto"/>
        <w:ind w:left="720" w:hanging="720"/>
      </w:pPr>
      <w:r>
        <w:rPr>
          <w:rFonts w:ascii="Times New Roman" w:hAnsi="Times New Roman"/>
          <w:sz w:val="24"/>
        </w:rPr>
        <w:t>Yahoo Finance (2026). SPDR S&amp;P 500 ETF Trust (SPY) historical prices [Data set]. https://finance.yahoo.com/quote/SPY/history</w:t>
      </w:r>
    </w:p>
    <w:p>
      <w:pPr>
        <w:spacing w:before="0" w:after="0" w:line="240" w:lineRule="auto"/>
      </w:pPr>
      <w:r>
        <w:rPr>
          <w:rFonts w:ascii="Times New Roman" w:hAnsi="Times New Roman"/>
          <w:b/>
          <w:i w:val="0"/>
          <w:sz w:val="24"/>
        </w:rPr>
        <w:t>7. Appendix A: Individual Member Analysis Summaries</w:t>
      </w:r>
    </w:p>
    <w:p>
      <w:pPr>
        <w:spacing w:before="0" w:after="0" w:line="240" w:lineRule="auto"/>
      </w:pPr>
      <w:r>
        <w:rPr>
          <w:rFonts w:ascii="Times New Roman" w:hAnsi="Times New Roman"/>
          <w:b w:val="0"/>
          <w:i w:val="0"/>
          <w:sz w:val="24"/>
        </w:rPr>
        <w:t>[PLACEHOLDER — paragraph-length summary of each individual member's analysis and other relative contributions to be completed by the team. The Analysis-Plan attribution was: Rajath — Traditional ARCH/GARCH models, EDA, data preprocessing; Harsh — Regime-switching MS-GARCH models and regime-probability analysis; Yibo — Literature review on machine-learning approaches and comparative evaluation; Mani — Literature review and EDA; Yen-Shuo — Literature review on the VIX and EDA. Replace this placeholder with one paragraph per member describing (a) the analytical sub-task they led, (b) the specific code or outputs they produced, and (c) their contribution to writing and review of this report.]</w:t>
      </w:r>
    </w:p>
    <w:p>
      <w:pPr>
        <w:spacing w:before="0" w:after="0" w:line="240" w:lineRule="auto"/>
      </w:pPr>
      <w:r>
        <w:rPr>
          <w:rFonts w:ascii="Times New Roman" w:hAnsi="Times New Roman"/>
          <w:b/>
          <w:i w:val="0"/>
          <w:sz w:val="24"/>
        </w:rPr>
        <w:t>8. Appendix B: Required Team Contributions Statement</w:t>
      </w:r>
    </w:p>
    <w:p>
      <w:pPr>
        <w:spacing w:before="0" w:after="0" w:line="240" w:lineRule="auto"/>
      </w:pPr>
      <w:r>
        <w:rPr>
          <w:rFonts w:ascii="Times New Roman" w:hAnsi="Times New Roman"/>
          <w:b w:val="0"/>
          <w:i w:val="0"/>
          <w:sz w:val="24"/>
        </w:rPr>
        <w:t>[PLACEHOLDER — required team contributions evaluation. Per the assignment instructions, this appendix must explicitly note any team member who did not contribute at least 80% of what is expected for this deliverable. If every member met or exceeded the 80% threshold, state so here. See the example evaluation linked in the assignment for formatting.]</w:t>
      </w:r>
    </w:p>
    <w:p>
      <w:pPr>
        <w:spacing w:before="0" w:after="0" w:line="240" w:lineRule="auto"/>
      </w:pPr>
      <w:r>
        <w:rPr>
          <w:rFonts w:ascii="Times New Roman" w:hAnsi="Times New Roman"/>
          <w:b/>
          <w:i w:val="0"/>
          <w:sz w:val="24"/>
        </w:rPr>
        <w:t>9. Appendix C: Supplementary Figures</w:t>
      </w:r>
    </w:p>
    <w:p>
      <w:pPr>
        <w:spacing w:before="0" w:after="0" w:line="240" w:lineRule="auto"/>
      </w:pPr>
      <w:r>
        <w:rPr>
          <w:rFonts w:ascii="Times New Roman" w:hAnsi="Times New Roman"/>
          <w:b w:val="0"/>
          <w:i w:val="0"/>
          <w:sz w:val="24"/>
        </w:rPr>
        <w:t>Figures in this appendix are numbered independently of the main report (Appendix Figure 1, 2, 3, 4) and provide a wider visual perspective on residual adequacy, regime-level forecast variability, qualitative cross-model behaviour during a crisis window, and the empirical justification for the heavy-tailed innovation distribution used by the GARCH-family models.</w:t>
      </w:r>
    </w:p>
    <w:p>
      <w:pPr>
        <w:spacing w:before="0" w:after="0" w:line="240" w:lineRule="auto"/>
      </w:pPr>
    </w:p>
    <w:p>
      <w:pPr>
        <w:spacing w:before="0" w:after="0"/>
        <w:jc w:val="center"/>
      </w:pPr>
      <w:r>
        <w:drawing>
          <wp:inline xmlns:a="http://schemas.openxmlformats.org/drawingml/2006/main" xmlns:pic="http://schemas.openxmlformats.org/drawingml/2006/picture">
            <wp:extent cx="5669280" cy="6700058"/>
            <wp:docPr id="11" name="Picture 11"/>
            <wp:cNvGraphicFramePr>
              <a:graphicFrameLocks noChangeAspect="1"/>
            </wp:cNvGraphicFramePr>
            <a:graphic>
              <a:graphicData uri="http://schemas.openxmlformats.org/drawingml/2006/picture">
                <pic:pic>
                  <pic:nvPicPr>
                    <pic:cNvPr id="0" name="A1_residual_montage.png"/>
                    <pic:cNvPicPr/>
                  </pic:nvPicPr>
                  <pic:blipFill>
                    <a:blip r:embed="rId19"/>
                    <a:stretch>
                      <a:fillRect/>
                    </a:stretch>
                  </pic:blipFill>
                  <pic:spPr>
                    <a:xfrm>
                      <a:off x="0" y="0"/>
                      <a:ext cx="5669280" cy="6700058"/>
                    </a:xfrm>
                    <a:prstGeom prst="rect"/>
                  </pic:spPr>
                </pic:pic>
              </a:graphicData>
            </a:graphic>
          </wp:inline>
        </w:drawing>
      </w:r>
    </w:p>
    <w:p>
      <w:pPr>
        <w:spacing w:before="0" w:after="0" w:line="240" w:lineRule="auto"/>
        <w:jc w:val="center"/>
      </w:pPr>
      <w:r>
        <w:rPr>
          <w:rFonts w:ascii="Times New Roman" w:hAnsi="Times New Roman"/>
          <w:b w:val="0"/>
          <w:i/>
          <w:sz w:val="24"/>
        </w:rPr>
        <w:t>Appendix Figure 1. Cross-model residual diagnostics on the SPY daily test block (no_exog). Left column: ACF of standardised residuals zₜ = rₜ/σ̂ₜ; right column: ACF of zₜ². Adequate variance specifications produce both ACFs that fall inside the 95% Bartlett band at every lag. The four GARCH-family and recurrent / attention models show essentially clean whitening; XGBoost (bottom row) shows visible mass outside the band on both ACFs, reinforcing the QLIKE / VaR-exception evidence in §4.3 that this model has not absorbed the conditional heteroskedasticity.</w:t>
      </w:r>
    </w:p>
    <w:p>
      <w:pPr>
        <w:spacing w:before="0" w:after="0" w:line="240" w:lineRule="auto"/>
      </w:pPr>
    </w:p>
    <w:p>
      <w:pPr>
        <w:spacing w:before="0" w:after="0"/>
        <w:jc w:val="center"/>
      </w:pPr>
      <w:r>
        <w:drawing>
          <wp:inline xmlns:a="http://schemas.openxmlformats.org/drawingml/2006/main" xmlns:pic="http://schemas.openxmlformats.org/drawingml/2006/picture">
            <wp:extent cx="5669280" cy="2576945"/>
            <wp:docPr id="12" name="Picture 12"/>
            <wp:cNvGraphicFramePr>
              <a:graphicFrameLocks noChangeAspect="1"/>
            </wp:cNvGraphicFramePr>
            <a:graphic>
              <a:graphicData uri="http://schemas.openxmlformats.org/drawingml/2006/picture">
                <pic:pic>
                  <pic:nvPicPr>
                    <pic:cNvPr id="0" name="A2_regime_boxplot.png"/>
                    <pic:cNvPicPr/>
                  </pic:nvPicPr>
                  <pic:blipFill>
                    <a:blip r:embed="rId20"/>
                    <a:stretch>
                      <a:fillRect/>
                    </a:stretch>
                  </pic:blipFill>
                  <pic:spPr>
                    <a:xfrm>
                      <a:off x="0" y="0"/>
                      <a:ext cx="5669280" cy="2576945"/>
                    </a:xfrm>
                    <a:prstGeom prst="rect"/>
                  </pic:spPr>
                </pic:pic>
              </a:graphicData>
            </a:graphic>
          </wp:inline>
        </w:drawing>
      </w:r>
    </w:p>
    <w:p>
      <w:pPr>
        <w:spacing w:before="0" w:after="0" w:line="240" w:lineRule="auto"/>
        <w:jc w:val="center"/>
      </w:pPr>
      <w:r>
        <w:rPr>
          <w:rFonts w:ascii="Times New Roman" w:hAnsi="Times New Roman"/>
          <w:b w:val="0"/>
          <w:i/>
          <w:sz w:val="24"/>
        </w:rPr>
        <w:t>Appendix Figure 2. Distribution of per-window QLIKE across the five RFP windows in each historical regime, by model (SPY daily, no_exog, log y-axis). Table 7 in the main body reported only the regime mean; this view shows that within-regime spread is small in Calm 17–19, Oil Crash, and Energy 22 (boxes are tight) but large in GFC and COVID, where a single bad window can shift a regime mean noticeably. The XGBoost boxes sit an order of magnitude above the other four models in every regime, which is why the test-block QLIKE in Table 6 is also dominated by it.</w:t>
      </w:r>
    </w:p>
    <w:p>
      <w:pPr>
        <w:spacing w:before="0" w:after="0" w:line="240" w:lineRule="auto"/>
      </w:pPr>
    </w:p>
    <w:p>
      <w:pPr>
        <w:spacing w:before="0" w:after="0"/>
        <w:jc w:val="center"/>
      </w:pPr>
      <w:r>
        <w:drawing>
          <wp:inline xmlns:a="http://schemas.openxmlformats.org/drawingml/2006/main" xmlns:pic="http://schemas.openxmlformats.org/drawingml/2006/picture">
            <wp:extent cx="5669280" cy="2576945"/>
            <wp:docPr id="13" name="Picture 13"/>
            <wp:cNvGraphicFramePr>
              <a:graphicFrameLocks noChangeAspect="1"/>
            </wp:cNvGraphicFramePr>
            <a:graphic>
              <a:graphicData uri="http://schemas.openxmlformats.org/drawingml/2006/picture">
                <pic:pic>
                  <pic:nvPicPr>
                    <pic:cNvPr id="0" name="A3_covid_overlay.png"/>
                    <pic:cNvPicPr/>
                  </pic:nvPicPr>
                  <pic:blipFill>
                    <a:blip r:embed="rId21"/>
                    <a:stretch>
                      <a:fillRect/>
                    </a:stretch>
                  </pic:blipFill>
                  <pic:spPr>
                    <a:xfrm>
                      <a:off x="0" y="0"/>
                      <a:ext cx="5669280" cy="2576945"/>
                    </a:xfrm>
                    <a:prstGeom prst="rect"/>
                  </pic:spPr>
                </pic:pic>
              </a:graphicData>
            </a:graphic>
          </wp:inline>
        </w:drawing>
      </w:r>
    </w:p>
    <w:p>
      <w:pPr>
        <w:spacing w:before="0" w:after="0" w:line="240" w:lineRule="auto"/>
        <w:jc w:val="center"/>
      </w:pPr>
      <w:r>
        <w:rPr>
          <w:rFonts w:ascii="Times New Roman" w:hAnsi="Times New Roman"/>
          <w:b w:val="0"/>
          <w:i/>
          <w:sz w:val="24"/>
        </w:rPr>
        <w:t>Appendix Figure 3. Cross-model volatility forecasts on a representative COVID RFP window (d_COVID_3, 60 days from late 2020). The grey line is the observed |return|; coloured lines are the five model forecasts σ̂ₜ on the same dates. GJR-GARCH and MS-GARCH track the volatility burst most closely; the LSTM-with-attention is smoother and slightly under-shoots peaks; the Transformer is noisier; XGBoost forecasts are visibly compressed toward the centre, which is the visual signature of the variance under-prediction that drives its inflated VaR exception count in Table 6.</w:t>
      </w:r>
    </w:p>
    <w:p>
      <w:pPr>
        <w:spacing w:before="0" w:after="0" w:line="240" w:lineRule="auto"/>
      </w:pPr>
    </w:p>
    <w:p>
      <w:pPr>
        <w:spacing w:before="0" w:after="0"/>
        <w:jc w:val="center"/>
      </w:pPr>
      <w:r>
        <w:drawing>
          <wp:inline xmlns:a="http://schemas.openxmlformats.org/drawingml/2006/main" xmlns:pic="http://schemas.openxmlformats.org/drawingml/2006/picture">
            <wp:extent cx="5669280" cy="2267712"/>
            <wp:docPr id="14" name="Picture 14"/>
            <wp:cNvGraphicFramePr>
              <a:graphicFrameLocks noChangeAspect="1"/>
            </wp:cNvGraphicFramePr>
            <a:graphic>
              <a:graphicData uri="http://schemas.openxmlformats.org/drawingml/2006/picture">
                <pic:pic>
                  <pic:nvPicPr>
                    <pic:cNvPr id="0" name="A4_returns_distribution.png"/>
                    <pic:cNvPicPr/>
                  </pic:nvPicPr>
                  <pic:blipFill>
                    <a:blip r:embed="rId22"/>
                    <a:stretch>
                      <a:fillRect/>
                    </a:stretch>
                  </pic:blipFill>
                  <pic:spPr>
                    <a:xfrm>
                      <a:off x="0" y="0"/>
                      <a:ext cx="5669280" cy="2267712"/>
                    </a:xfrm>
                    <a:prstGeom prst="rect"/>
                  </pic:spPr>
                </pic:pic>
              </a:graphicData>
            </a:graphic>
          </wp:inline>
        </w:drawing>
      </w:r>
    </w:p>
    <w:p>
      <w:pPr>
        <w:spacing w:before="0" w:after="0" w:line="240" w:lineRule="auto"/>
        <w:jc w:val="center"/>
      </w:pPr>
      <w:r>
        <w:rPr>
          <w:rFonts w:ascii="Times New Roman" w:hAnsi="Times New Roman"/>
          <w:b w:val="0"/>
          <w:i/>
          <w:sz w:val="24"/>
        </w:rPr>
        <w:t>Appendix Figure 4. Empirical SPY daily log-return distribution (2000–2026) overlaid with maximum-likelihood Normal and Student-t fits. Left panel: linear y-axis showing the central peak; right panel: log y-axis isolating the tails. The Normal fit visibly under-states the central peak and the tail mass; the fitted Student-t (df ≈ 2.7) tracks both the peak and the tail decay closely. This is the empirical justification for the Student-t innovation distribution used by GJR-GARCH and MS-GARCH (§4.1.1–4.1.2) and is consistent with the excess kurtosis of 11.5 reported in Table 2.</w:t>
      </w:r>
    </w:p>
    <w:p>
      <w:pPr>
        <w:spacing w:before="0" w:after="0" w:line="240" w:lineRule="auto"/>
      </w:pPr>
    </w:p>
    <w:p>
      <w:pPr>
        <w:spacing w:before="0" w:after="0"/>
        <w:jc w:val="center"/>
      </w:pPr>
      <w:r>
        <w:drawing>
          <wp:inline xmlns:a="http://schemas.openxmlformats.org/drawingml/2006/main" xmlns:pic="http://schemas.openxmlformats.org/drawingml/2006/picture">
            <wp:extent cx="5669280" cy="2576945"/>
            <wp:docPr id="15" name="Picture 15"/>
            <wp:cNvGraphicFramePr>
              <a:graphicFrameLocks noChangeAspect="1"/>
            </wp:cNvGraphicFramePr>
            <a:graphic>
              <a:graphicData uri="http://schemas.openxmlformats.org/drawingml/2006/picture">
                <pic:pic>
                  <pic:nvPicPr>
                    <pic:cNvPr id="0" name="A5_regime_boxplot_with_exog.png"/>
                    <pic:cNvPicPr/>
                  </pic:nvPicPr>
                  <pic:blipFill>
                    <a:blip r:embed="rId23"/>
                    <a:stretch>
                      <a:fillRect/>
                    </a:stretch>
                  </pic:blipFill>
                  <pic:spPr>
                    <a:xfrm>
                      <a:off x="0" y="0"/>
                      <a:ext cx="5669280" cy="2576945"/>
                    </a:xfrm>
                    <a:prstGeom prst="rect"/>
                  </pic:spPr>
                </pic:pic>
              </a:graphicData>
            </a:graphic>
          </wp:inline>
        </w:drawing>
      </w:r>
    </w:p>
    <w:p>
      <w:pPr>
        <w:spacing w:before="0" w:after="0" w:line="240" w:lineRule="auto"/>
        <w:jc w:val="center"/>
      </w:pPr>
      <w:r>
        <w:rPr>
          <w:rFonts w:ascii="Times New Roman" w:hAnsi="Times New Roman"/>
          <w:b w:val="0"/>
          <w:i/>
          <w:sz w:val="24"/>
        </w:rPr>
        <w:t>Appendix Figure 5. Distribution of per-window QLIKE across the five RFP windows in each historical regime, by model — with_exog configuration (SPY daily, log y-axis). Direct counterpart to Appendix Figure 2; presented separately so the no_exog vs with_exog comparison can be made by side-by-side reading. The qualitative picture is unchanged — XGBoost still sits an order of magnitude above the other four models in every regime, the GJR-family models retain the tightest boxes in calm regimes, and GFC/COVID remain the highest-spread regimes — but two differences are worth noting: (i) the LSTM-Attention COVID box shifts down relative to the no_exog version, consistent with the with_exog LSTM win on test-block QLIKE in Table 6; (ii) the Transformer box in OIL_CRASH widens, reflecting the instability of self-attention on small training windows when the feature dimension grows.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