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806d7bafc074c92" /><Relationship Type="http://schemas.openxmlformats.org/package/2006/relationships/metadata/core-properties" Target="/docProps/core.xml" Id="R89132cd6aa634c07" /><Relationship Type="http://schemas.openxmlformats.org/officeDocument/2006/relationships/extended-properties" Target="/docProps/app.xml" Id="R1f10230d46754ed4" /><Relationship Type="http://schemas.openxmlformats.org/officeDocument/2006/relationships/custom-properties" Target="/docProps/custom.xml" Id="Rc04467df738a4f2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Telecom Customer Churn Analysis Report</w:t>
      </w:r>
    </w:p>
    <w:p w14:paraId="00100002" w14:textId="00100003">
      <w:pPr>
        <w:spacing w:after="80"/>
        <w:jc w:val="center"/>
      </w:pPr>
      <w:r>
        <w:rPr>
          <w:color w:val="57606A"/>
          <w:sz w:val="20"/>
        </w:rPr>
        <w:t xml:space="preserve">Dataset: WA_Fn-UseC_-Telco-Customer-Churn.csv  |  7,043 customers  |  IBM Watson Analytics</w:t>
      </w:r>
    </w:p>
    <w:p w14:paraId="00100004" w14:textId="00100005">
      <w:pPr>
        <w:spacing w:after="400"/>
        <w:jc w:val="center"/>
      </w:pPr>
      <w:r>
        <w:rPr>
          <w:color w:val="57606A"/>
          <w:sz w:val="20"/>
        </w:rPr>
        <w:t xml:space="preserve">Prepared by IBM Bob  |  Telecom Churn Intelligence Report</w:t>
      </w:r>
    </w:p>
    <w:p w14:paraId="00100006" w14:textId="00100007">
      <w:pPr>
        <w:pStyle w:val="Heading1"/>
        <w:spacing w:before="240" w:after="160"/>
      </w:pPr>
      <w:r>
        <w:rPr>
          <w:b/>
          <w:sz w:val="32"/>
        </w:rPr>
        <w:t xml:space="preserve">1. Executive Summary</w:t>
      </w:r>
    </w:p>
    <w:p w14:paraId="00100008" w14:textId="00100009">
      <w:pPr>
        <w:spacing w:after="200"/>
      </w:pPr>
      <w:r>
        <w:rPr>
          <w:sz w:val="22"/>
        </w:rPr>
        <w:t xml:space="preserve">This report presents a comprehensive analysis of customer churn for a telecommunications company using the IBM Watson Analytics Telco Customer Churn dataset. The dataset covers 7,043 customers with 21 attributes including demographics, account details, services subscribed, and churn status. The overall churn rate stands at 26.5%, meaning more than 1 in 4 customers left the company. Key risk factors include month-to-month contracts, short tenure, fiber optic subscriptions, electronic check payment, and senior citizen status.</w:t>
      </w:r>
    </w:p>
    <w:p w14:paraId="0010000A" w14:textId="0010000B">
      <w:pPr>
        <w:pStyle w:val="Heading1"/>
        <w:spacing w:before="240" w:after="160"/>
      </w:pPr>
      <w:r>
        <w:rPr>
          <w:b/>
          <w:sz w:val="32"/>
        </w:rPr>
        <w:t xml:space="preserve">2. Key Performance Indicators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58" w14:textId="00100059">
            <w:r>
              <w:t xml:space="preserve">Metric</w:t>
            </w:r>
          </w:p>
        </w:tc>
        <w:tc>
          <w:p w14:paraId="0010005A" w14:textId="0010005B">
            <w:r>
              <w:t xml:space="preserve">Value</w:t>
            </w:r>
          </w:p>
        </w:tc>
        <w:tc>
          <w:p w14:paraId="0010005C" w14:textId="0010005D">
            <w:r>
              <w:t xml:space="preserve">Description</w:t>
            </w:r>
          </w:p>
        </w:tc>
        <w:tc>
          <w:p w14:paraId="0010005E" w14:textId="0010005F">
            <w:r>
              <w:t xml:space="preserve">Status</w:t>
            </w:r>
          </w:p>
        </w:tc>
      </w:tr>
      <w:tr>
        <w:trPr/>
        <w:tc>
          <w:p w14:paraId="00100060" w14:textId="00100061">
            <w:r>
              <w:t xml:space="preserve">Total Customers</w:t>
            </w:r>
          </w:p>
        </w:tc>
        <w:tc>
          <w:p w14:paraId="00100062" w14:textId="00100063">
            <w:r>
              <w:t xml:space="preserve">7,043</w:t>
            </w:r>
          </w:p>
        </w:tc>
        <w:tc>
          <w:p w14:paraId="00100064" w14:textId="00100065">
            <w:r>
              <w:t xml:space="preserve">Full dataset size</w:t>
            </w:r>
          </w:p>
        </w:tc>
        <w:tc>
          <w:p w14:paraId="00100066" w14:textId="00100067">
            <w:r>
              <w:t xml:space="preserve">—</w:t>
            </w:r>
          </w:p>
        </w:tc>
      </w:tr>
    </w:tbl>
    <w:p w14:paraId="0010000E" w14:textId="0010000F">
      <w:pPr>
        <w:pStyle w:val="Heading1"/>
        <w:spacing w:before="280" w:after="160"/>
      </w:pPr>
      <w:r>
        <w:rPr>
          <w:b/>
          <w:sz w:val="32"/>
        </w:rPr>
        <w:t xml:space="preserve">3. Churned vs Retained Customers</w:t>
      </w:r>
    </w:p>
    <w:p w14:paraId="00100010" w14:textId="00100011">
      <w:pPr>
        <w:spacing w:after="160"/>
      </w:pPr>
      <w:r>
        <w:rPr>
          <w:sz w:val="22"/>
        </w:rPr>
        <w:t xml:space="preserve">Of the 7,043 total customers, 1,869 (26.5%) churned and 5,174 (73.5%) were retained. This represents a significant revenue risk and underscores the need for proactive retention strategies.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8" w14:textId="00100069">
            <w:r>
              <w:t xml:space="preserve">Status</w:t>
            </w:r>
          </w:p>
        </w:tc>
        <w:tc>
          <w:p w14:paraId="0010006A" w14:textId="0010006B">
            <w:r>
              <w:t xml:space="preserve">Customers</w:t>
            </w:r>
          </w:p>
        </w:tc>
        <w:tc>
          <w:p w14:paraId="0010006C" w14:textId="0010006D">
            <w:r>
              <w:t xml:space="preserve">Percentage</w:t>
            </w:r>
          </w:p>
        </w:tc>
      </w:tr>
      <w:tr>
        <w:trPr/>
        <w:tc>
          <w:p w14:paraId="0010006E" w14:textId="0010006F">
            <w:r>
              <w:t xml:space="preserve">Churned</w:t>
            </w:r>
          </w:p>
        </w:tc>
        <w:tc>
          <w:p w14:paraId="00100070" w14:textId="00100071">
            <w:r>
              <w:t xml:space="preserve">1,869</w:t>
            </w:r>
          </w:p>
        </w:tc>
        <w:tc>
          <w:p w14:paraId="00100072" w14:textId="00100073">
            <w:r>
              <w:t xml:space="preserve">26.5%</w:t>
            </w:r>
          </w:p>
        </w:tc>
      </w:tr>
      <w:tr>
        <w:trPr/>
        <w:tc>
          <w:p w14:paraId="00100074" w14:textId="00100075">
            <w:r>
              <w:t xml:space="preserve">Retained</w:t>
            </w:r>
          </w:p>
        </w:tc>
        <w:tc>
          <w:p w14:paraId="00100076" w14:textId="00100077">
            <w:r>
              <w:t xml:space="preserve">5,174</w:t>
            </w:r>
          </w:p>
        </w:tc>
        <w:tc>
          <w:p w14:paraId="00100078" w14:textId="00100079">
            <w:r>
              <w:t xml:space="preserve">73.5%</w:t>
            </w:r>
          </w:p>
        </w:tc>
      </w:tr>
    </w:tbl>
    <w:p w14:paraId="00100014" w14:textId="00100015">
      <w:pPr>
        <w:spacing w:before="120" w:after="240"/>
      </w:pPr>
      <w:r>
        <w:rPr>
          <w:b/>
          <w:color w:val="1F4E79"/>
          <w:sz w:val="20"/>
        </w:rPr>
        <w:t xml:space="preserve">Key Finding: More than 1 in 4 customers churned, representing significant revenue risk.</w:t>
      </w:r>
    </w:p>
    <w:p w14:paraId="00100016" w14:textId="00100017">
      <w:pPr>
        <w:pStyle w:val="Heading1"/>
        <w:spacing w:before="240" w:after="160"/>
      </w:pPr>
      <w:r>
        <w:rPr>
          <w:b/>
          <w:sz w:val="32"/>
        </w:rPr>
        <w:t xml:space="preserve">4. Churn by Contract Type</w:t>
      </w:r>
    </w:p>
    <w:p w14:paraId="00100018" w14:textId="00100019">
      <w:pPr>
        <w:spacing w:after="160"/>
      </w:pPr>
      <w:r>
        <w:rPr>
          <w:sz w:val="22"/>
        </w:rPr>
        <w:t xml:space="preserve">Contract type is the single strongest predictor of churn. Month-to-month customers churn at 42.7% — 15 times the rate of two-year contract holders (2.8%). Customers on longer contracts demonstrate significantly higher loyalty.</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7A" w14:textId="0010007B">
            <w:r>
              <w:t xml:space="preserve">Contract Type</w:t>
            </w:r>
          </w:p>
        </w:tc>
        <w:tc>
          <w:p w14:paraId="0010007C" w14:textId="0010007D">
            <w:r>
              <w:t xml:space="preserve">Total</w:t>
            </w:r>
          </w:p>
        </w:tc>
        <w:tc>
          <w:p w14:paraId="0010007E" w14:textId="0010007F">
            <w:r>
              <w:t xml:space="preserve">Retained</w:t>
            </w:r>
          </w:p>
        </w:tc>
        <w:tc>
          <w:p w14:paraId="00100080" w14:textId="00100081">
            <w:r>
              <w:t xml:space="preserve">Churned</w:t>
            </w:r>
          </w:p>
        </w:tc>
        <w:tc>
          <w:p w14:paraId="00100082" w14:textId="00100083">
            <w:r>
              <w:t xml:space="preserve">Churn Rate</w:t>
            </w:r>
          </w:p>
        </w:tc>
      </w:tr>
      <w:tr>
        <w:trPr/>
        <w:tc>
          <w:p w14:paraId="00100084" w14:textId="00100085">
            <w:r>
              <w:t xml:space="preserve">Month-to-month</w:t>
            </w:r>
          </w:p>
        </w:tc>
        <w:tc>
          <w:p w14:paraId="00100086" w14:textId="00100087">
            <w:r>
              <w:t xml:space="preserve">3,875</w:t>
            </w:r>
          </w:p>
        </w:tc>
        <w:tc>
          <w:p w14:paraId="00100088" w14:textId="00100089">
            <w:r>
              <w:t xml:space="preserve">2,220</w:t>
            </w:r>
          </w:p>
        </w:tc>
        <w:tc>
          <w:p w14:paraId="0010008A" w14:textId="0010008B">
            <w:r>
              <w:t xml:space="preserve">1,655</w:t>
            </w:r>
          </w:p>
        </w:tc>
        <w:tc>
          <w:p w14:paraId="0010008C" w14:textId="0010008D">
            <w:r>
              <w:t xml:space="preserve">42.7%</w:t>
            </w:r>
          </w:p>
        </w:tc>
      </w:tr>
      <w:tr>
        <w:trPr/>
        <w:tc>
          <w:p w14:paraId="0010008E" w14:textId="0010008F">
            <w:r>
              <w:t xml:space="preserve">One year</w:t>
            </w:r>
          </w:p>
        </w:tc>
        <w:tc>
          <w:p w14:paraId="00100090" w14:textId="00100091">
            <w:r>
              <w:t xml:space="preserve">1,473</w:t>
            </w:r>
          </w:p>
        </w:tc>
        <w:tc>
          <w:p w14:paraId="00100092" w14:textId="00100093">
            <w:r>
              <w:t xml:space="preserve">1,307</w:t>
            </w:r>
          </w:p>
        </w:tc>
        <w:tc>
          <w:p w14:paraId="00100094" w14:textId="00100095">
            <w:r>
              <w:t xml:space="preserve">166</w:t>
            </w:r>
          </w:p>
        </w:tc>
        <w:tc>
          <w:p w14:paraId="00100096" w14:textId="00100097">
            <w:r>
              <w:t xml:space="preserve">11.3%</w:t>
            </w:r>
          </w:p>
        </w:tc>
      </w:tr>
      <w:tr>
        <w:trPr/>
        <w:tc>
          <w:p w14:paraId="00100098" w14:textId="00100099">
            <w:r>
              <w:t xml:space="preserve">Two year</w:t>
            </w:r>
          </w:p>
        </w:tc>
        <w:tc>
          <w:p w14:paraId="0010009A" w14:textId="0010009B">
            <w:r>
              <w:t xml:space="preserve">1,695</w:t>
            </w:r>
          </w:p>
        </w:tc>
        <w:tc>
          <w:p w14:paraId="0010009C" w14:textId="0010009D">
            <w:r>
              <w:t xml:space="preserve">1,647</w:t>
            </w:r>
          </w:p>
        </w:tc>
        <w:tc>
          <w:p w14:paraId="0010009E" w14:textId="0010009F">
            <w:r>
              <w:t xml:space="preserve">48</w:t>
            </w:r>
          </w:p>
        </w:tc>
        <w:tc>
          <w:p w14:paraId="001000A0" w14:textId="001000A1">
            <w:r>
              <w:t xml:space="preserve">2.8%</w:t>
            </w:r>
          </w:p>
        </w:tc>
      </w:tr>
    </w:tbl>
    <w:p w14:paraId="0010001C" w14:textId="0010001D">
      <w:pPr>
        <w:spacing w:before="120" w:after="240"/>
      </w:pPr>
      <w:r>
        <w:rPr>
          <w:b/>
          <w:color w:val="1F4E79"/>
          <w:sz w:val="20"/>
        </w:rPr>
        <w:t xml:space="preserve">Key Finding: Month-to-month customers churn at 15x the rate of two-year contract holders (42.7% vs 2.8%). Migrating customers to longer contracts is the highest-impact retention lever.</w:t>
      </w:r>
    </w:p>
    <w:p w14:paraId="0010001E" w14:textId="0010001F">
      <w:pPr>
        <w:pStyle w:val="Heading1"/>
        <w:spacing w:before="240" w:after="160"/>
      </w:pPr>
      <w:r>
        <w:rPr>
          <w:b/>
          <w:sz w:val="32"/>
        </w:rPr>
        <w:t xml:space="preserve">5. Churn Rate by Tenure (months)</w:t>
      </w:r>
    </w:p>
    <w:p w14:paraId="00100020" w14:textId="00100021">
      <w:pPr>
        <w:spacing w:after="160"/>
      </w:pPr>
      <w:r>
        <w:rPr>
          <w:sz w:val="22"/>
        </w:rPr>
        <w:t xml:space="preserve">Churn rate declines sharply as customer tenure increases. New customers (0–12 months) churn at nearly 47.4%, while long-tenure customers (61–72 months) churn at only 6.6%. This indicates that the first year is the most critical retention period.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2" w14:textId="001000A3">
            <w:r>
              <w:t xml:space="preserve">Tenure Bucket</w:t>
            </w:r>
          </w:p>
        </w:tc>
        <w:tc>
          <w:p w14:paraId="001000A4" w14:textId="001000A5">
            <w:r>
              <w:t xml:space="preserve">Total Customers</w:t>
            </w:r>
          </w:p>
        </w:tc>
        <w:tc>
          <w:p w14:paraId="001000A6" w14:textId="001000A7">
            <w:r>
              <w:t xml:space="preserve">Churned</w:t>
            </w:r>
          </w:p>
        </w:tc>
        <w:tc>
          <w:p w14:paraId="001000A8" w14:textId="001000A9">
            <w:r>
              <w:t xml:space="preserve">Churn Rate</w:t>
            </w:r>
          </w:p>
        </w:tc>
      </w:tr>
      <w:tr>
        <w:trPr/>
        <w:tc>
          <w:p w14:paraId="001000AA" w14:textId="001000AB">
            <w:r>
              <w:t xml:space="preserve">0-12 months</w:t>
            </w:r>
          </w:p>
        </w:tc>
        <w:tc>
          <w:p w14:paraId="001000AC" w14:textId="001000AD">
            <w:r>
              <w:t xml:space="preserve">2,186</w:t>
            </w:r>
          </w:p>
        </w:tc>
        <w:tc>
          <w:p w14:paraId="001000AE" w14:textId="001000AF">
            <w:r>
              <w:t xml:space="preserve">1,037</w:t>
            </w:r>
          </w:p>
        </w:tc>
        <w:tc>
          <w:p w14:paraId="001000B0" w14:textId="001000B1">
            <w:r>
              <w:t xml:space="preserve">47.4%</w:t>
            </w:r>
          </w:p>
        </w:tc>
      </w:tr>
      <w:tr>
        <w:trPr/>
        <w:tc>
          <w:p w14:paraId="001000B2" w14:textId="001000B3">
            <w:r>
              <w:t xml:space="preserve">13-24 months</w:t>
            </w:r>
          </w:p>
        </w:tc>
        <w:tc>
          <w:p w14:paraId="001000B4" w14:textId="001000B5">
            <w:r>
              <w:t xml:space="preserve">1,024</w:t>
            </w:r>
          </w:p>
        </w:tc>
        <w:tc>
          <w:p w14:paraId="001000B6" w14:textId="001000B7">
            <w:r>
              <w:t xml:space="preserve">294</w:t>
            </w:r>
          </w:p>
        </w:tc>
        <w:tc>
          <w:p w14:paraId="001000B8" w14:textId="001000B9">
            <w:r>
              <w:t xml:space="preserve">28.7%</w:t>
            </w:r>
          </w:p>
        </w:tc>
      </w:tr>
      <w:tr>
        <w:trPr/>
        <w:tc>
          <w:p w14:paraId="001000BA" w14:textId="001000BB">
            <w:r>
              <w:t xml:space="preserve">25-36 months</w:t>
            </w:r>
          </w:p>
        </w:tc>
        <w:tc>
          <w:p w14:paraId="001000BC" w14:textId="001000BD">
            <w:r>
              <w:t xml:space="preserve">832</w:t>
            </w:r>
          </w:p>
        </w:tc>
        <w:tc>
          <w:p w14:paraId="001000BE" w14:textId="001000BF">
            <w:r>
              <w:t xml:space="preserve">180</w:t>
            </w:r>
          </w:p>
        </w:tc>
        <w:tc>
          <w:p w14:paraId="001000C0" w14:textId="001000C1">
            <w:r>
              <w:t xml:space="preserve">21.6%</w:t>
            </w:r>
          </w:p>
        </w:tc>
      </w:tr>
      <w:tr>
        <w:trPr/>
        <w:tc>
          <w:p w14:paraId="001000C2" w14:textId="001000C3">
            <w:r>
              <w:t xml:space="preserve">37-48 months</w:t>
            </w:r>
          </w:p>
        </w:tc>
        <w:tc>
          <w:p w14:paraId="001000C4" w14:textId="001000C5">
            <w:r>
              <w:t xml:space="preserve">762</w:t>
            </w:r>
          </w:p>
        </w:tc>
        <w:tc>
          <w:p w14:paraId="001000C6" w14:textId="001000C7">
            <w:r>
              <w:t xml:space="preserve">145</w:t>
            </w:r>
          </w:p>
        </w:tc>
        <w:tc>
          <w:p w14:paraId="001000C8" w14:textId="001000C9">
            <w:r>
              <w:t xml:space="preserve">19.0%</w:t>
            </w:r>
          </w:p>
        </w:tc>
      </w:tr>
      <w:tr>
        <w:trPr/>
        <w:tc>
          <w:p w14:paraId="001000CA" w14:textId="001000CB">
            <w:r>
              <w:t xml:space="preserve">49-60 months</w:t>
            </w:r>
          </w:p>
        </w:tc>
        <w:tc>
          <w:p w14:paraId="001000CC" w14:textId="001000CD">
            <w:r>
              <w:t xml:space="preserve">832</w:t>
            </w:r>
          </w:p>
        </w:tc>
        <w:tc>
          <w:p w14:paraId="001000CE" w14:textId="001000CF">
            <w:r>
              <w:t xml:space="preserve">120</w:t>
            </w:r>
          </w:p>
        </w:tc>
        <w:tc>
          <w:p w14:paraId="001000D0" w14:textId="001000D1">
            <w:r>
              <w:t xml:space="preserve">14.4%</w:t>
            </w:r>
          </w:p>
        </w:tc>
      </w:tr>
      <w:tr>
        <w:trPr/>
        <w:tc>
          <w:p w14:paraId="001000D2" w14:textId="001000D3">
            <w:r>
              <w:t xml:space="preserve">61-72 months</w:t>
            </w:r>
          </w:p>
        </w:tc>
        <w:tc>
          <w:p w14:paraId="001000D4" w14:textId="001000D5">
            <w:r>
              <w:t xml:space="preserve">1,407</w:t>
            </w:r>
          </w:p>
        </w:tc>
        <w:tc>
          <w:p w14:paraId="001000D6" w14:textId="001000D7">
            <w:r>
              <w:t xml:space="preserve">93</w:t>
            </w:r>
          </w:p>
        </w:tc>
        <w:tc>
          <w:p w14:paraId="001000D8" w14:textId="001000D9">
            <w:r>
              <w:t xml:space="preserve">6.6%</w:t>
            </w:r>
          </w:p>
        </w:tc>
      </w:tr>
    </w:tbl>
    <w:p w14:paraId="00100024" w14:textId="00100025">
      <w:pPr>
        <w:spacing w:before="120" w:after="240"/>
      </w:pPr>
      <w:r>
        <w:rPr>
          <w:b/>
          <w:color w:val="1F4E79"/>
          <w:sz w:val="20"/>
        </w:rPr>
        <w:t xml:space="preserve">Key Finding: Nearly half of new customers (0–12 months) churn. Loyalty increases sharply with tenure — customers with 5+ years churn at only 6.6%.</w:t>
      </w:r>
    </w:p>
    <w:p w14:paraId="00100026" w14:textId="00100027">
      <w:pPr>
        <w:pStyle w:val="Heading1"/>
        <w:spacing w:before="240" w:after="160"/>
      </w:pPr>
      <w:r>
        <w:rPr>
          <w:b/>
          <w:sz w:val="32"/>
        </w:rPr>
        <w:t xml:space="preserve">6. Churn by Internet Service</w:t>
      </w:r>
    </w:p>
    <w:p w14:paraId="00100028" w14:textId="00100029">
      <w:pPr>
        <w:spacing w:after="160"/>
      </w:pPr>
      <w:r>
        <w:rPr>
          <w:sz w:val="22"/>
        </w:rPr>
        <w:t xml:space="preserve">Fiber optic customers churn at 41.9%, nearly 5.7 times the rate of customers with no internet service (7.4%). Despite being a premium service, fiber optic is associated with high dissatisfaction, likely driven by pricing or quality expectations.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A" w14:textId="001000DB">
            <w:r>
              <w:t xml:space="preserve">Internet Service</w:t>
            </w:r>
          </w:p>
        </w:tc>
        <w:tc>
          <w:p w14:paraId="001000DC" w14:textId="001000DD">
            <w:r>
              <w:t xml:space="preserve">Total</w:t>
            </w:r>
          </w:p>
        </w:tc>
        <w:tc>
          <w:p w14:paraId="001000DE" w14:textId="001000DF">
            <w:r>
              <w:t xml:space="preserve">Churned</w:t>
            </w:r>
          </w:p>
        </w:tc>
        <w:tc>
          <w:p w14:paraId="001000E0" w14:textId="001000E1">
            <w:r>
              <w:t xml:space="preserve">Churn Rate</w:t>
            </w:r>
          </w:p>
        </w:tc>
      </w:tr>
      <w:tr>
        <w:trPr/>
        <w:tc>
          <w:p w14:paraId="001000E2" w14:textId="001000E3">
            <w:r>
              <w:t xml:space="preserve">Fiber optic</w:t>
            </w:r>
          </w:p>
        </w:tc>
        <w:tc>
          <w:p w14:paraId="001000E4" w14:textId="001000E5">
            <w:r>
              <w:t xml:space="preserve">3,096</w:t>
            </w:r>
          </w:p>
        </w:tc>
        <w:tc>
          <w:p w14:paraId="001000E6" w14:textId="001000E7">
            <w:r>
              <w:t xml:space="preserve">1,297</w:t>
            </w:r>
          </w:p>
        </w:tc>
        <w:tc>
          <w:p w14:paraId="001000E8" w14:textId="001000E9">
            <w:r>
              <w:t xml:space="preserve">41.9%</w:t>
            </w:r>
          </w:p>
        </w:tc>
      </w:tr>
      <w:tr>
        <w:trPr/>
        <w:tc>
          <w:p w14:paraId="001000EA" w14:textId="001000EB">
            <w:r>
              <w:t xml:space="preserve">DSL</w:t>
            </w:r>
          </w:p>
        </w:tc>
        <w:tc>
          <w:p w14:paraId="001000EC" w14:textId="001000ED">
            <w:r>
              <w:t xml:space="preserve">2,421</w:t>
            </w:r>
          </w:p>
        </w:tc>
        <w:tc>
          <w:p w14:paraId="001000EE" w14:textId="001000EF">
            <w:r>
              <w:t xml:space="preserve">459</w:t>
            </w:r>
          </w:p>
        </w:tc>
        <w:tc>
          <w:p w14:paraId="001000F0" w14:textId="001000F1">
            <w:r>
              <w:t xml:space="preserve">19.0%</w:t>
            </w:r>
          </w:p>
        </w:tc>
      </w:tr>
      <w:tr>
        <w:trPr/>
        <w:tc>
          <w:p w14:paraId="001000F2" w14:textId="001000F3">
            <w:r>
              <w:t xml:space="preserve">No internet service</w:t>
            </w:r>
          </w:p>
        </w:tc>
        <w:tc>
          <w:p w14:paraId="001000F4" w14:textId="001000F5">
            <w:r>
              <w:t xml:space="preserve">1,526</w:t>
            </w:r>
          </w:p>
        </w:tc>
        <w:tc>
          <w:p w14:paraId="001000F6" w14:textId="001000F7">
            <w:r>
              <w:t xml:space="preserve">113</w:t>
            </w:r>
          </w:p>
        </w:tc>
        <w:tc>
          <w:p w14:paraId="001000F8" w14:textId="001000F9">
            <w:r>
              <w:t xml:space="preserve">7.4%</w:t>
            </w:r>
          </w:p>
        </w:tc>
      </w:tr>
    </w:tbl>
    <w:p w14:paraId="0010002C" w14:textId="0010002D">
      <w:pPr>
        <w:spacing w:before="120" w:after="240"/>
      </w:pPr>
      <w:r>
        <w:rPr>
          <w:b/>
          <w:color w:val="1F4E79"/>
          <w:sz w:val="20"/>
        </w:rPr>
        <w:t xml:space="preserve">Key Finding: Fiber optic customers churn at 5.7x the rate of those with no internet service. Investigate service quality issues for fiber subscribers.</w:t>
      </w:r>
    </w:p>
    <w:p w14:paraId="0010002E" w14:textId="0010002F">
      <w:pPr>
        <w:pStyle w:val="Heading1"/>
        <w:spacing w:before="240" w:after="160"/>
      </w:pPr>
      <w:r>
        <w:rPr>
          <w:b/>
          <w:sz w:val="32"/>
        </w:rPr>
        <w:t xml:space="preserve">7. Churn by Payment Method</w:t>
      </w:r>
    </w:p>
    <w:p w14:paraId="00100030" w14:textId="00100031">
      <w:pPr>
        <w:spacing w:after="160"/>
      </w:pPr>
      <w:r>
        <w:rPr>
          <w:sz w:val="22"/>
        </w:rPr>
        <w:t xml:space="preserve">Electronic check users show by far the highest churn rate at 45.3%, more than 3 times the rate of automatic payment users (credit card: 15.2%, bank transfer: 16.7%). Manual payment methods correlate strongly with disengagement.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FA" w14:textId="001000FB">
            <w:r>
              <w:t xml:space="preserve">Payment Method</w:t>
            </w:r>
          </w:p>
        </w:tc>
        <w:tc>
          <w:p w14:paraId="001000FC" w14:textId="001000FD">
            <w:r>
              <w:t xml:space="preserve">Total</w:t>
            </w:r>
          </w:p>
        </w:tc>
        <w:tc>
          <w:p w14:paraId="001000FE" w14:textId="001000FF">
            <w:r>
              <w:t xml:space="preserve">Churned</w:t>
            </w:r>
          </w:p>
        </w:tc>
        <w:tc>
          <w:p w14:paraId="00100100" w14:textId="00100101">
            <w:r>
              <w:t xml:space="preserve">Churn Rate</w:t>
            </w:r>
          </w:p>
        </w:tc>
      </w:tr>
      <w:tr>
        <w:trPr/>
        <w:tc>
          <w:p w14:paraId="00100102" w14:textId="00100103">
            <w:r>
              <w:t xml:space="preserve">Electronic check</w:t>
            </w:r>
          </w:p>
        </w:tc>
        <w:tc>
          <w:p w14:paraId="00100104" w14:textId="00100105">
            <w:r>
              <w:t xml:space="preserve">2,365</w:t>
            </w:r>
          </w:p>
        </w:tc>
        <w:tc>
          <w:p w14:paraId="00100106" w14:textId="00100107">
            <w:r>
              <w:t xml:space="preserve">1,071</w:t>
            </w:r>
          </w:p>
        </w:tc>
        <w:tc>
          <w:p w14:paraId="00100108" w14:textId="00100109">
            <w:r>
              <w:t xml:space="preserve">45.3%</w:t>
            </w:r>
          </w:p>
        </w:tc>
      </w:tr>
      <w:tr>
        <w:trPr/>
        <w:tc>
          <w:p w14:paraId="0010010A" w14:textId="0010010B">
            <w:r>
              <w:t xml:space="preserve">Mailed check</w:t>
            </w:r>
          </w:p>
        </w:tc>
        <w:tc>
          <w:p w14:paraId="0010010C" w14:textId="0010010D">
            <w:r>
              <w:t xml:space="preserve">1,612</w:t>
            </w:r>
          </w:p>
        </w:tc>
        <w:tc>
          <w:p w14:paraId="0010010E" w14:textId="0010010F">
            <w:r>
              <w:t xml:space="preserve">308</w:t>
            </w:r>
          </w:p>
        </w:tc>
        <w:tc>
          <w:p w14:paraId="00100110" w14:textId="00100111">
            <w:r>
              <w:t xml:space="preserve">19.1%</w:t>
            </w:r>
          </w:p>
        </w:tc>
      </w:tr>
      <w:tr>
        <w:trPr/>
        <w:tc>
          <w:p w14:paraId="00100112" w14:textId="00100113">
            <w:r>
              <w:t xml:space="preserve">Bank transfer (automatic)</w:t>
            </w:r>
          </w:p>
        </w:tc>
        <w:tc>
          <w:p w14:paraId="00100114" w14:textId="00100115">
            <w:r>
              <w:t xml:space="preserve">1,544</w:t>
            </w:r>
          </w:p>
        </w:tc>
        <w:tc>
          <w:p w14:paraId="00100116" w14:textId="00100117">
            <w:r>
              <w:t xml:space="preserve">258</w:t>
            </w:r>
          </w:p>
        </w:tc>
        <w:tc>
          <w:p w14:paraId="00100118" w14:textId="00100119">
            <w:r>
              <w:t xml:space="preserve">16.7%</w:t>
            </w:r>
          </w:p>
        </w:tc>
      </w:tr>
      <w:tr>
        <w:trPr/>
        <w:tc>
          <w:p w14:paraId="0010011A" w14:textId="0010011B">
            <w:r>
              <w:t xml:space="preserve">Credit card (automatic)</w:t>
            </w:r>
          </w:p>
        </w:tc>
        <w:tc>
          <w:p w14:paraId="0010011C" w14:textId="0010011D">
            <w:r>
              <w:t xml:space="preserve">1,522</w:t>
            </w:r>
          </w:p>
        </w:tc>
        <w:tc>
          <w:p w14:paraId="0010011E" w14:textId="0010011F">
            <w:r>
              <w:t xml:space="preserve">232</w:t>
            </w:r>
          </w:p>
        </w:tc>
        <w:tc>
          <w:p w14:paraId="00100120" w14:textId="00100121">
            <w:r>
              <w:t xml:space="preserve">15.2%</w:t>
            </w:r>
          </w:p>
        </w:tc>
      </w:tr>
    </w:tbl>
    <w:p w14:paraId="00100034" w14:textId="00100035">
      <w:pPr>
        <w:spacing w:before="120" w:after="240"/>
      </w:pPr>
      <w:r>
        <w:rPr>
          <w:b/>
          <w:color w:val="1F4E79"/>
          <w:sz w:val="20"/>
        </w:rPr>
        <w:t xml:space="preserve">Key Finding: Electronic check users churn 3x more than automatic payment users. Incentivize auto-pay setup to reduce churn risk.</w:t>
      </w:r>
    </w:p>
    <w:p w14:paraId="00100036" w14:textId="00100037">
      <w:pPr>
        <w:pStyle w:val="Heading1"/>
        <w:spacing w:before="240" w:after="160"/>
      </w:pPr>
      <w:r>
        <w:rPr>
          <w:b/>
          <w:sz w:val="32"/>
        </w:rPr>
        <w:t xml:space="preserve">8. Churn by Senior Citizen Status</w:t>
      </w:r>
    </w:p>
    <w:p w14:paraId="00100038" w14:textId="00100039">
      <w:pPr>
        <w:spacing w:after="160"/>
      </w:pPr>
      <w:r>
        <w:rPr>
          <w:sz w:val="22"/>
        </w:rPr>
        <w:t xml:space="preserve">Senior citizens (16.2% of the customer base) churn at 41.7%, nearly double the rate of non-senior customers at 23.6%. This demographic warrants dedicated retention plans and support resources.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2" w14:textId="00100123">
            <w:r>
              <w:t xml:space="preserve">Segment</w:t>
            </w:r>
          </w:p>
        </w:tc>
        <w:tc>
          <w:p w14:paraId="00100124" w14:textId="00100125">
            <w:r>
              <w:t xml:space="preserve">Total</w:t>
            </w:r>
          </w:p>
        </w:tc>
        <w:tc>
          <w:p w14:paraId="00100126" w14:textId="00100127">
            <w:r>
              <w:t xml:space="preserve">Churned</w:t>
            </w:r>
          </w:p>
        </w:tc>
        <w:tc>
          <w:p w14:paraId="00100128" w14:textId="00100129">
            <w:r>
              <w:t xml:space="preserve">Churn Rate</w:t>
            </w:r>
          </w:p>
        </w:tc>
      </w:tr>
      <w:tr>
        <w:trPr/>
        <w:tc>
          <w:p w14:paraId="0010012A" w14:textId="0010012B">
            <w:r>
              <w:t xml:space="preserve">Non-Senior Citizen</w:t>
            </w:r>
          </w:p>
        </w:tc>
        <w:tc>
          <w:p w14:paraId="0010012C" w14:textId="0010012D">
            <w:r>
              <w:t xml:space="preserve">5,901</w:t>
            </w:r>
          </w:p>
        </w:tc>
        <w:tc>
          <w:p w14:paraId="0010012E" w14:textId="0010012F">
            <w:r>
              <w:t xml:space="preserve">1,393</w:t>
            </w:r>
          </w:p>
        </w:tc>
        <w:tc>
          <w:p w14:paraId="00100130" w14:textId="00100131">
            <w:r>
              <w:t xml:space="preserve">23.6%</w:t>
            </w:r>
          </w:p>
        </w:tc>
      </w:tr>
      <w:tr>
        <w:trPr/>
        <w:tc>
          <w:p w14:paraId="00100132" w14:textId="00100133">
            <w:r>
              <w:t xml:space="preserve">Senior Citizen</w:t>
            </w:r>
          </w:p>
        </w:tc>
        <w:tc>
          <w:p w14:paraId="00100134" w14:textId="00100135">
            <w:r>
              <w:t xml:space="preserve">1,142</w:t>
            </w:r>
          </w:p>
        </w:tc>
        <w:tc>
          <w:p w14:paraId="00100136" w14:textId="00100137">
            <w:r>
              <w:t xml:space="preserve">476</w:t>
            </w:r>
          </w:p>
        </w:tc>
        <w:tc>
          <w:p w14:paraId="00100138" w14:textId="00100139">
            <w:r>
              <w:t xml:space="preserve">41.7%</w:t>
            </w:r>
          </w:p>
        </w:tc>
      </w:tr>
    </w:tbl>
    <w:p w14:paraId="0010003C" w14:textId="0010003D">
      <w:pPr>
        <w:spacing w:before="120" w:after="240"/>
      </w:pPr>
      <w:r>
        <w:rPr>
          <w:b/>
          <w:color w:val="1F4E79"/>
          <w:sz w:val="20"/>
        </w:rPr>
        <w:t xml:space="preserve">Key Finding: Senior citizens churn at nearly double the rate of non-seniors (41.7% vs 23.6%). Create senior-tailored plans with dedicated support channels.</w:t>
      </w:r>
    </w:p>
    <w:p w14:paraId="0010003E" w14:textId="0010003F">
      <w:pPr>
        <w:pStyle w:val="Heading1"/>
        <w:spacing w:before="240" w:after="160"/>
      </w:pPr>
      <w:r>
        <w:rPr>
          <w:b/>
          <w:sz w:val="32"/>
        </w:rPr>
        <w:t xml:space="preserve">9. Average Monthly Charges (Churned vs Retained)</w:t>
      </w:r>
    </w:p>
    <w:p w14:paraId="00100040" w14:textId="00100041">
      <w:pPr>
        <w:spacing w:after="160"/>
      </w:pPr>
      <w:r>
        <w:rPr>
          <w:sz w:val="22"/>
        </w:rPr>
        <w:t xml:space="preserve">Churned customers paid significantly more per month on average ($74.44) compared to retained customers ($61.27), a difference of $13.17/month. Higher billing correlates with higher churn risk, pointing to price sensitivity as a churn driver.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A" w14:textId="0010013B">
            <w:r>
              <w:t xml:space="preserve">Group</w:t>
            </w:r>
          </w:p>
        </w:tc>
        <w:tc>
          <w:p w14:paraId="0010013C" w14:textId="0010013D">
            <w:r>
              <w:t xml:space="preserve">Avg Monthly Charge</w:t>
            </w:r>
          </w:p>
        </w:tc>
        <w:tc>
          <w:p w14:paraId="0010013E" w14:textId="0010013F">
            <w:r>
              <w:t xml:space="preserve">Difference vs Other</w:t>
            </w:r>
          </w:p>
        </w:tc>
      </w:tr>
      <w:tr>
        <w:trPr/>
        <w:tc>
          <w:p w14:paraId="00100140" w14:textId="00100141">
            <w:r>
              <w:t xml:space="preserve">Churned Customers</w:t>
            </w:r>
          </w:p>
        </w:tc>
        <w:tc>
          <w:p w14:paraId="00100142" w14:textId="00100143">
            <w:r>
              <w:t xml:space="preserve">$74.44</w:t>
            </w:r>
          </w:p>
        </w:tc>
        <w:tc>
          <w:p w14:paraId="00100144" w14:textId="00100145">
            <w:r>
              <w:t xml:space="preserve">+$13.17 more than Retained</w:t>
            </w:r>
          </w:p>
        </w:tc>
      </w:tr>
      <w:tr>
        <w:trPr/>
        <w:tc>
          <w:p w14:paraId="00100146" w14:textId="00100147">
            <w:r>
              <w:t xml:space="preserve">Retained Customers</w:t>
            </w:r>
          </w:p>
        </w:tc>
        <w:tc>
          <w:p w14:paraId="00100148" w14:textId="00100149">
            <w:r>
              <w:t xml:space="preserve">$61.27</w:t>
            </w:r>
          </w:p>
        </w:tc>
        <w:tc>
          <w:p w14:paraId="0010014A" w14:textId="0010014B">
            <w:r>
              <w:t xml:space="preserve">Baseline</w:t>
            </w:r>
          </w:p>
        </w:tc>
      </w:tr>
    </w:tbl>
    <w:p w14:paraId="00100044" w14:textId="00100045">
      <w:pPr>
        <w:spacing w:before="120" w:after="240"/>
      </w:pPr>
      <w:r>
        <w:rPr>
          <w:b/>
          <w:color w:val="1F4E79"/>
          <w:sz w:val="20"/>
        </w:rPr>
        <w:t xml:space="preserve">Key Finding: Churned customers paid on average $13.17 more per month, suggesting pricing sensitivity and a need for value-based retention offers.</w:t>
      </w:r>
    </w:p>
    <w:p w14:paraId="00100046" w14:textId="00100047">
      <w:pPr>
        <w:pStyle w:val="Heading1"/>
        <w:spacing w:before="240" w:after="160"/>
      </w:pPr>
      <w:r>
        <w:rPr>
          <w:b/>
          <w:sz w:val="32"/>
        </w:rPr>
        <w:t xml:space="preserve">10. Churn by Gender</w:t>
      </w:r>
    </w:p>
    <w:p w14:paraId="00100048" w14:textId="00100049">
      <w:pPr>
        <w:spacing w:after="160"/>
      </w:pPr>
      <w:r>
        <w:rPr>
          <w:sz w:val="22"/>
        </w:rPr>
        <w:t xml:space="preserve">Gender has minimal impact on churn. Female customers churn at 26.9% (939 of 3,488) and male customers at 26.2% (930 of 3,555). The near-identical rates indicate gender is not a meaningful churn predictor compared to contract type, tenure, or payment method.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C" w14:textId="0010014D">
            <w:r>
              <w:t xml:space="preserve">Gender</w:t>
            </w:r>
          </w:p>
        </w:tc>
        <w:tc>
          <w:p w14:paraId="0010014E" w14:textId="0010014F">
            <w:r>
              <w:t xml:space="preserve">Total</w:t>
            </w:r>
          </w:p>
        </w:tc>
        <w:tc>
          <w:p w14:paraId="00100150" w14:textId="00100151">
            <w:r>
              <w:t xml:space="preserve">Churned</w:t>
            </w:r>
          </w:p>
        </w:tc>
        <w:tc>
          <w:p w14:paraId="00100152" w14:textId="00100153">
            <w:r>
              <w:t xml:space="preserve">Churn Rate</w:t>
            </w:r>
          </w:p>
        </w:tc>
      </w:tr>
      <w:tr>
        <w:trPr/>
        <w:tc>
          <w:p w14:paraId="00100154" w14:textId="00100155">
            <w:r>
              <w:t xml:space="preserve">Female</w:t>
            </w:r>
          </w:p>
        </w:tc>
        <w:tc>
          <w:p w14:paraId="00100156" w14:textId="00100157">
            <w:r>
              <w:t xml:space="preserve">3,488</w:t>
            </w:r>
          </w:p>
        </w:tc>
        <w:tc>
          <w:p w14:paraId="00100158" w14:textId="00100159">
            <w:r>
              <w:t xml:space="preserve">939</w:t>
            </w:r>
          </w:p>
        </w:tc>
        <w:tc>
          <w:p w14:paraId="0010015A" w14:textId="0010015B">
            <w:r>
              <w:t xml:space="preserve">26.9%</w:t>
            </w:r>
          </w:p>
        </w:tc>
      </w:tr>
      <w:tr>
        <w:trPr/>
        <w:tc>
          <w:p w14:paraId="0010015C" w14:textId="0010015D">
            <w:r>
              <w:t xml:space="preserve">Male</w:t>
            </w:r>
          </w:p>
        </w:tc>
        <w:tc>
          <w:p w14:paraId="0010015E" w14:textId="0010015F">
            <w:r>
              <w:t xml:space="preserve">3,555</w:t>
            </w:r>
          </w:p>
        </w:tc>
        <w:tc>
          <w:p w14:paraId="00100160" w14:textId="00100161">
            <w:r>
              <w:t xml:space="preserve">930</w:t>
            </w:r>
          </w:p>
        </w:tc>
        <w:tc>
          <w:p w14:paraId="00100162" w14:textId="00100163">
            <w:r>
              <w:t xml:space="preserve">26.2%</w:t>
            </w:r>
          </w:p>
        </w:tc>
      </w:tr>
    </w:tbl>
    <w:p w14:paraId="0010004C" w14:textId="0010004D">
      <w:pPr>
        <w:spacing w:before="120" w:after="240"/>
      </w:pPr>
      <w:r>
        <w:rPr>
          <w:b/>
          <w:color w:val="1F4E79"/>
          <w:sz w:val="20"/>
        </w:rPr>
        <w:t xml:space="preserve">Key Finding: Gender has minimal impact — rates are nearly identical (26.9% F vs 26.2% M). Focus retention resources on higher-impact factors.</w:t>
      </w:r>
    </w:p>
    <w:p w14:paraId="0010004E" w14:textId="0010004F">
      <w:pPr>
        <w:pStyle w:val="Heading1"/>
        <w:spacing w:before="240" w:after="160"/>
      </w:pPr>
      <w:r>
        <w:rPr>
          <w:b/>
          <w:sz w:val="32"/>
        </w:rPr>
        <w:t xml:space="preserve">11. Full Churn Summary by Segment</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64" w14:textId="00100165">
            <w:r>
              <w:t xml:space="preserve">Segment</w:t>
            </w:r>
          </w:p>
        </w:tc>
        <w:tc>
          <w:p w14:paraId="00100166" w14:textId="00100167">
            <w:r>
              <w:t xml:space="preserve">Category</w:t>
            </w:r>
          </w:p>
        </w:tc>
        <w:tc>
          <w:p w14:paraId="00100168" w14:textId="00100169">
            <w:r>
              <w:t xml:space="preserve">Total</w:t>
            </w:r>
          </w:p>
        </w:tc>
        <w:tc>
          <w:p w14:paraId="0010016A" w14:textId="0010016B">
            <w:r>
              <w:t xml:space="preserve">Churned</w:t>
            </w:r>
          </w:p>
        </w:tc>
        <w:tc>
          <w:p w14:paraId="0010016C" w14:textId="0010016D">
            <w:r>
              <w:t xml:space="preserve">Rate</w:t>
            </w:r>
          </w:p>
        </w:tc>
        <w:tc>
          <w:p w14:paraId="0010016E" w14:textId="0010016F">
            <w:r>
              <w:t xml:space="preserve">Risk Level</w:t>
            </w:r>
          </w:p>
        </w:tc>
      </w:tr>
      <w:tr>
        <w:trPr/>
        <w:tc>
          <w:p w14:paraId="00100170" w14:textId="00100171">
            <w:r>
              <w:t xml:space="preserve">Contract</w:t>
            </w:r>
          </w:p>
        </w:tc>
        <w:tc>
          <w:p w14:paraId="00100172" w14:textId="00100173">
            <w:r>
              <w:t xml:space="preserve">Month-to-month</w:t>
            </w:r>
          </w:p>
        </w:tc>
        <w:tc>
          <w:p w14:paraId="00100174" w14:textId="00100175">
            <w:r>
              <w:t xml:space="preserve">3,875</w:t>
            </w:r>
          </w:p>
        </w:tc>
        <w:tc>
          <w:p w14:paraId="00100176" w14:textId="00100177">
            <w:r>
              <w:t xml:space="preserve">1,655</w:t>
            </w:r>
          </w:p>
        </w:tc>
        <w:tc>
          <w:p w14:paraId="00100178" w14:textId="00100179">
            <w:r>
              <w:t xml:space="preserve">42.7%</w:t>
            </w:r>
          </w:p>
        </w:tc>
        <w:tc>
          <w:p w14:paraId="0010017A" w14:textId="0010017B">
            <w:r>
              <w:t xml:space="preserve">High</w:t>
            </w:r>
          </w:p>
        </w:tc>
      </w:tr>
      <w:tr>
        <w:trPr/>
        <w:tc>
          <w:p w14:paraId="0010017C" w14:textId="0010017D">
            <w:r>
              <w:t xml:space="preserve">Contract</w:t>
            </w:r>
          </w:p>
        </w:tc>
        <w:tc>
          <w:p w14:paraId="0010017E" w14:textId="0010017F">
            <w:r>
              <w:t xml:space="preserve">One year</w:t>
            </w:r>
          </w:p>
        </w:tc>
        <w:tc>
          <w:p w14:paraId="00100180" w14:textId="00100181">
            <w:r>
              <w:t xml:space="preserve">1,473</w:t>
            </w:r>
          </w:p>
        </w:tc>
        <w:tc>
          <w:p w14:paraId="00100182" w14:textId="00100183">
            <w:r>
              <w:t xml:space="preserve">166</w:t>
            </w:r>
          </w:p>
        </w:tc>
        <w:tc>
          <w:p w14:paraId="00100184" w14:textId="00100185">
            <w:r>
              <w:t xml:space="preserve">11.3%</w:t>
            </w:r>
          </w:p>
        </w:tc>
        <w:tc>
          <w:p w14:paraId="00100186" w14:textId="00100187">
            <w:r>
              <w:t xml:space="preserve">Medium</w:t>
            </w:r>
          </w:p>
        </w:tc>
      </w:tr>
      <w:tr>
        <w:trPr/>
        <w:tc>
          <w:p w14:paraId="00100188" w14:textId="00100189">
            <w:r>
              <w:t xml:space="preserve">Contract</w:t>
            </w:r>
          </w:p>
        </w:tc>
        <w:tc>
          <w:p w14:paraId="0010018A" w14:textId="0010018B">
            <w:r>
              <w:t xml:space="preserve">Two year</w:t>
            </w:r>
          </w:p>
        </w:tc>
        <w:tc>
          <w:p w14:paraId="0010018C" w14:textId="0010018D">
            <w:r>
              <w:t xml:space="preserve">1,695</w:t>
            </w:r>
          </w:p>
        </w:tc>
        <w:tc>
          <w:p w14:paraId="0010018E" w14:textId="0010018F">
            <w:r>
              <w:t xml:space="preserve">48</w:t>
            </w:r>
          </w:p>
        </w:tc>
        <w:tc>
          <w:p w14:paraId="00100190" w14:textId="00100191">
            <w:r>
              <w:t xml:space="preserve">2.8%</w:t>
            </w:r>
          </w:p>
        </w:tc>
        <w:tc>
          <w:p w14:paraId="00100192" w14:textId="00100193">
            <w:r>
              <w:t xml:space="preserve">Low</w:t>
            </w:r>
          </w:p>
        </w:tc>
      </w:tr>
      <w:tr>
        <w:trPr/>
        <w:tc>
          <w:p w14:paraId="00100194" w14:textId="00100195">
            <w:r>
              <w:t xml:space="preserve">Internet</w:t>
            </w:r>
          </w:p>
        </w:tc>
        <w:tc>
          <w:p w14:paraId="00100196" w14:textId="00100197">
            <w:r>
              <w:t xml:space="preserve">Fiber optic</w:t>
            </w:r>
          </w:p>
        </w:tc>
        <w:tc>
          <w:p w14:paraId="00100198" w14:textId="00100199">
            <w:r>
              <w:t xml:space="preserve">3,096</w:t>
            </w:r>
          </w:p>
        </w:tc>
        <w:tc>
          <w:p w14:paraId="0010019A" w14:textId="0010019B">
            <w:r>
              <w:t xml:space="preserve">1,297</w:t>
            </w:r>
          </w:p>
        </w:tc>
        <w:tc>
          <w:p w14:paraId="0010019C" w14:textId="0010019D">
            <w:r>
              <w:t xml:space="preserve">41.9%</w:t>
            </w:r>
          </w:p>
        </w:tc>
        <w:tc>
          <w:p w14:paraId="0010019E" w14:textId="0010019F">
            <w:r>
              <w:t xml:space="preserve">High</w:t>
            </w:r>
          </w:p>
        </w:tc>
      </w:tr>
      <w:tr>
        <w:trPr/>
        <w:tc>
          <w:p w14:paraId="001001A0" w14:textId="001001A1">
            <w:r>
              <w:t xml:space="preserve">Internet</w:t>
            </w:r>
          </w:p>
        </w:tc>
        <w:tc>
          <w:p w14:paraId="001001A2" w14:textId="001001A3">
            <w:r>
              <w:t xml:space="preserve">DSL</w:t>
            </w:r>
          </w:p>
        </w:tc>
        <w:tc>
          <w:p w14:paraId="001001A4" w14:textId="001001A5">
            <w:r>
              <w:t xml:space="preserve">2,421</w:t>
            </w:r>
          </w:p>
        </w:tc>
        <w:tc>
          <w:p w14:paraId="001001A6" w14:textId="001001A7">
            <w:r>
              <w:t xml:space="preserve">459</w:t>
            </w:r>
          </w:p>
        </w:tc>
        <w:tc>
          <w:p w14:paraId="001001A8" w14:textId="001001A9">
            <w:r>
              <w:t xml:space="preserve">19.0%</w:t>
            </w:r>
          </w:p>
        </w:tc>
        <w:tc>
          <w:p w14:paraId="001001AA" w14:textId="001001AB">
            <w:r>
              <w:t xml:space="preserve">Medium</w:t>
            </w:r>
          </w:p>
        </w:tc>
      </w:tr>
      <w:tr>
        <w:trPr/>
        <w:tc>
          <w:p w14:paraId="001001AC" w14:textId="001001AD">
            <w:r>
              <w:t xml:space="preserve">Internet</w:t>
            </w:r>
          </w:p>
        </w:tc>
        <w:tc>
          <w:p w14:paraId="001001AE" w14:textId="001001AF">
            <w:r>
              <w:t xml:space="preserve">No internet</w:t>
            </w:r>
          </w:p>
        </w:tc>
        <w:tc>
          <w:p w14:paraId="001001B0" w14:textId="001001B1">
            <w:r>
              <w:t xml:space="preserve">1,526</w:t>
            </w:r>
          </w:p>
        </w:tc>
        <w:tc>
          <w:p w14:paraId="001001B2" w14:textId="001001B3">
            <w:r>
              <w:t xml:space="preserve">113</w:t>
            </w:r>
          </w:p>
        </w:tc>
        <w:tc>
          <w:p w14:paraId="001001B4" w14:textId="001001B5">
            <w:r>
              <w:t xml:space="preserve">7.4%</w:t>
            </w:r>
          </w:p>
        </w:tc>
        <w:tc>
          <w:p w14:paraId="001001B6" w14:textId="001001B7">
            <w:r>
              <w:t xml:space="preserve">Low</w:t>
            </w:r>
          </w:p>
        </w:tc>
      </w:tr>
      <w:tr>
        <w:trPr/>
        <w:tc>
          <w:p w14:paraId="001001B8" w14:textId="001001B9">
            <w:r>
              <w:t xml:space="preserve">Payment</w:t>
            </w:r>
          </w:p>
        </w:tc>
        <w:tc>
          <w:p w14:paraId="001001BA" w14:textId="001001BB">
            <w:r>
              <w:t xml:space="preserve">Electronic check</w:t>
            </w:r>
          </w:p>
        </w:tc>
        <w:tc>
          <w:p w14:paraId="001001BC" w14:textId="001001BD">
            <w:r>
              <w:t xml:space="preserve">2,365</w:t>
            </w:r>
          </w:p>
        </w:tc>
        <w:tc>
          <w:p w14:paraId="001001BE" w14:textId="001001BF">
            <w:r>
              <w:t xml:space="preserve">1,071</w:t>
            </w:r>
          </w:p>
        </w:tc>
        <w:tc>
          <w:p w14:paraId="001001C0" w14:textId="001001C1">
            <w:r>
              <w:t xml:space="preserve">45.3%</w:t>
            </w:r>
          </w:p>
        </w:tc>
        <w:tc>
          <w:p w14:paraId="001001C2" w14:textId="001001C3">
            <w:r>
              <w:t xml:space="preserve">High</w:t>
            </w:r>
          </w:p>
        </w:tc>
      </w:tr>
      <w:tr>
        <w:trPr/>
        <w:tc>
          <w:p w14:paraId="001001C4" w14:textId="001001C5">
            <w:r>
              <w:t xml:space="preserve">Senior</w:t>
            </w:r>
          </w:p>
        </w:tc>
        <w:tc>
          <w:p w14:paraId="001001C6" w14:textId="001001C7">
            <w:r>
              <w:t xml:space="preserve">Senior citizen</w:t>
            </w:r>
          </w:p>
        </w:tc>
        <w:tc>
          <w:p w14:paraId="001001C8" w14:textId="001001C9">
            <w:r>
              <w:t xml:space="preserve">1,142</w:t>
            </w:r>
          </w:p>
        </w:tc>
        <w:tc>
          <w:p w14:paraId="001001CA" w14:textId="001001CB">
            <w:r>
              <w:t xml:space="preserve">476</w:t>
            </w:r>
          </w:p>
        </w:tc>
        <w:tc>
          <w:p w14:paraId="001001CC" w14:textId="001001CD">
            <w:r>
              <w:t xml:space="preserve">41.7%</w:t>
            </w:r>
          </w:p>
        </w:tc>
        <w:tc>
          <w:p w14:paraId="001001CE" w14:textId="001001CF">
            <w:r>
              <w:t xml:space="preserve">High</w:t>
            </w:r>
          </w:p>
        </w:tc>
      </w:tr>
      <w:tr>
        <w:trPr/>
        <w:tc>
          <w:p w14:paraId="001001D0" w14:textId="001001D1">
            <w:r>
              <w:t xml:space="preserve">Tenure</w:t>
            </w:r>
          </w:p>
        </w:tc>
        <w:tc>
          <w:p w14:paraId="001001D2" w14:textId="001001D3">
            <w:r>
              <w:t xml:space="preserve">0-12 months</w:t>
            </w:r>
          </w:p>
        </w:tc>
        <w:tc>
          <w:p w14:paraId="001001D4" w14:textId="001001D5">
            <w:r>
              <w:t xml:space="preserve">2,186</w:t>
            </w:r>
          </w:p>
        </w:tc>
        <w:tc>
          <w:p w14:paraId="001001D6" w14:textId="001001D7">
            <w:r>
              <w:t xml:space="preserve">1,037</w:t>
            </w:r>
          </w:p>
        </w:tc>
        <w:tc>
          <w:p w14:paraId="001001D8" w14:textId="001001D9">
            <w:r>
              <w:t xml:space="preserve">47.4%</w:t>
            </w:r>
          </w:p>
        </w:tc>
        <w:tc>
          <w:p w14:paraId="001001DA" w14:textId="001001DB">
            <w:r>
              <w:t xml:space="preserve">High</w:t>
            </w:r>
          </w:p>
        </w:tc>
      </w:tr>
      <w:tr>
        <w:trPr/>
        <w:tc>
          <w:p w14:paraId="001001DC" w14:textId="001001DD">
            <w:r>
              <w:t xml:space="preserve">Tenure</w:t>
            </w:r>
          </w:p>
        </w:tc>
        <w:tc>
          <w:p w14:paraId="001001DE" w14:textId="001001DF">
            <w:r>
              <w:t xml:space="preserve">61-72 months</w:t>
            </w:r>
          </w:p>
        </w:tc>
        <w:tc>
          <w:p w14:paraId="001001E0" w14:textId="001001E1">
            <w:r>
              <w:t xml:space="preserve">1,407</w:t>
            </w:r>
          </w:p>
        </w:tc>
        <w:tc>
          <w:p w14:paraId="001001E2" w14:textId="001001E3">
            <w:r>
              <w:t xml:space="preserve">93</w:t>
            </w:r>
          </w:p>
        </w:tc>
        <w:tc>
          <w:p w14:paraId="001001E4" w14:textId="001001E5">
            <w:r>
              <w:t xml:space="preserve">6.6%</w:t>
            </w:r>
          </w:p>
        </w:tc>
        <w:tc>
          <w:p w14:paraId="001001E6" w14:textId="001001E7">
            <w:r>
              <w:t xml:space="preserve">Low</w:t>
            </w:r>
          </w:p>
        </w:tc>
      </w:tr>
    </w:tbl>
    <w:p w14:paraId="00100052" w14:textId="00100053">
      <w:pPr>
        <w:pStyle w:val="Heading1"/>
        <w:spacing w:before="240" w:after="160"/>
      </w:pPr>
      <w:r>
        <w:rPr>
          <w:b/>
          <w:sz w:val="32"/>
        </w:rPr>
        <w:t xml:space="preserve">12. Key Takeaways &amp; Recommendations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E8" w14:textId="001001E9">
            <w:r>
              <w:t xml:space="preserve">#</w:t>
            </w:r>
          </w:p>
        </w:tc>
        <w:tc>
          <w:p w14:paraId="001001EA" w14:textId="001001EB">
            <w:r>
              <w:t xml:space="preserve">Finding</w:t>
            </w:r>
          </w:p>
        </w:tc>
        <w:tc>
          <w:p w14:paraId="001001EC" w14:textId="001001ED">
            <w:r>
              <w:t xml:space="preserve">Recommendation</w:t>
            </w:r>
          </w:p>
        </w:tc>
      </w:tr>
      <w:tr>
        <w:trPr/>
        <w:tc>
          <w:p w14:paraId="001001EE" w14:textId="001001EF">
            <w:r>
              <w:t xml:space="preserve">1</w:t>
            </w:r>
          </w:p>
        </w:tc>
        <w:tc>
          <w:p w14:paraId="001001F0" w14:textId="001001F1">
            <w:r>
              <w:t xml:space="preserve">New customers churn most (47.4% in first 12 months)</w:t>
            </w:r>
          </w:p>
        </w:tc>
        <w:tc>
          <w:p w14:paraId="001001F2" w14:textId="001001F3">
            <w:r>
              <w:t xml:space="preserve">Strengthen onboarding, offer 3-month loyalty incentives</w:t>
            </w:r>
          </w:p>
        </w:tc>
      </w:tr>
      <w:tr>
        <w:trPr/>
        <w:tc>
          <w:p w14:paraId="001001F4" w14:textId="001001F5">
            <w:r>
              <w:t xml:space="preserve">2</w:t>
            </w:r>
          </w:p>
        </w:tc>
        <w:tc>
          <w:p w14:paraId="001001F6" w14:textId="001001F7">
            <w:r>
              <w:t xml:space="preserve">Month-to-month contracts drive 88% of all churn</w:t>
            </w:r>
          </w:p>
        </w:tc>
        <w:tc>
          <w:p w14:paraId="001001F8" w14:textId="001001F9">
            <w:r>
              <w:t xml:space="preserve">Offer discounts to migrate customers to annual or 2-year plans</w:t>
            </w:r>
          </w:p>
        </w:tc>
      </w:tr>
      <w:tr>
        <w:trPr/>
        <w:tc>
          <w:p w14:paraId="001001FA" w14:textId="001001FB">
            <w:r>
              <w:t xml:space="preserve">3</w:t>
            </w:r>
          </w:p>
        </w:tc>
        <w:tc>
          <w:p w14:paraId="001001FC" w14:textId="001001FD">
            <w:r>
              <w:t xml:space="preserve">Fiber optic customers churn at 41.9% despite premium pricing</w:t>
            </w:r>
          </w:p>
        </w:tc>
        <w:tc>
          <w:p w14:paraId="001001FE" w14:textId="001001FF">
            <w:r>
              <w:t xml:space="preserve">Investigate service quality; add bundled perks for fiber subscribers</w:t>
            </w:r>
          </w:p>
        </w:tc>
      </w:tr>
      <w:tr>
        <w:trPr/>
        <w:tc>
          <w:p w14:paraId="00100200" w14:textId="00100201">
            <w:r>
              <w:t xml:space="preserve">4</w:t>
            </w:r>
          </w:p>
        </w:tc>
        <w:tc>
          <w:p w14:paraId="00100202" w14:textId="00100203">
            <w:r>
              <w:t xml:space="preserve">Electronic check payers are highest churn risk (45.3%)</w:t>
            </w:r>
          </w:p>
        </w:tc>
        <w:tc>
          <w:p w14:paraId="00100204" w14:textId="00100205">
            <w:r>
              <w:t xml:space="preserve">Incentivize auto-pay setup; send reminders to manual payers</w:t>
            </w:r>
          </w:p>
        </w:tc>
      </w:tr>
      <w:tr>
        <w:trPr/>
        <w:tc>
          <w:p w14:paraId="00100206" w14:textId="00100207">
            <w:r>
              <w:t xml:space="preserve">5</w:t>
            </w:r>
          </w:p>
        </w:tc>
        <w:tc>
          <w:p w14:paraId="00100208" w14:textId="00100209">
            <w:r>
              <w:t xml:space="preserve">Senior citizens churn at 41.7% - nearly double non-seniors</w:t>
            </w:r>
          </w:p>
        </w:tc>
        <w:tc>
          <w:p w14:paraId="0010020A" w14:textId="0010020B">
            <w:r>
              <w:t xml:space="preserve">Create senior-tailored plans with dedicated support channels</w:t>
            </w:r>
          </w:p>
        </w:tc>
      </w:tr>
    </w:tbl>
    <w:p w14:paraId="00100056" w14:textId="00100057">
      <w:pPr>
        <w:spacing w:before="480"/>
        <w:jc w:val="center"/>
      </w:pPr>
      <w:r>
        <w:rPr>
          <w:color w:val="57606A"/>
          <w:sz w:val="18"/>
        </w:rPr>
        <w:t xml:space="preserve">Made with IBM Bob  |  Telecom Customer Churn Analysis Report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e8384a17a6d248f0" /><Relationship Type="http://schemas.openxmlformats.org/officeDocument/2006/relationships/styles" Target="/word/styles.xml" Id="Rd6c51fa1bfdb4218" /><Relationship Type="http://schemas.openxmlformats.org/officeDocument/2006/relationships/theme" Target="/word/theme/theme1.xml" Id="R531a7c76e314474c" /><Relationship Type="http://schemas.openxmlformats.org/officeDocument/2006/relationships/numbering" Target="/word/numbering.xml" Id="R67f60a5e830d48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2026-09-23T19:27:42Z</dcterms:created>
  <cp:lastModifiedBy>OfficeCLI</cp:lastModifiedBy>
  <dcterms:modified xsi:type="dcterms:W3CDTF">2026-09-23T19:27:42Z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2026-09-23T19:32:12Z</vt:lpwstr>
  </op:property>
</op:Properties>
</file>