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1f336719c42d4729" /><Relationship Type="http://schemas.openxmlformats.org/package/2006/relationships/metadata/core-properties" Target="/docProps/core.xml" Id="R9af7d095bdaa4ab1" /><Relationship Type="http://schemas.openxmlformats.org/officeDocument/2006/relationships/extended-properties" Target="/docProps/app.xml" Id="R8264266239084504" /><Relationship Type="http://schemas.openxmlformats.org/officeDocument/2006/relationships/custom-properties" Target="/docProps/custom.xml" Id="R91c23f1c424741c2"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120"/>
        <w:jc w:val="center"/>
      </w:pPr>
      <w:r>
        <w:rPr>
          <w:b/>
          <w:sz w:val="44"/>
        </w:rPr>
        <w:t xml:space="preserve">Telecom Customer Churn — Data Analysis Project Report</w:t>
      </w:r>
    </w:p>
    <w:p w14:paraId="00100002" w14:textId="00100003">
      <w:pPr>
        <w:spacing w:after="360"/>
        <w:jc w:val="center"/>
      </w:pPr>
      <w:r>
        <w:rPr>
          <w:color w:val="57606A"/>
          <w:sz w:val="22"/>
        </w:rPr>
        <w:t xml:space="preserve">Prepared by: Student Name  |  Dataset: IBM Telco Customer Churn  |  Tool: Python / pandas / matplotlib</w:t>
      </w:r>
    </w:p>
    <w:p w14:paraId="00100004" w14:textId="00100005">
      <w:pPr>
        <w:pStyle w:val="Heading2"/>
        <w:spacing w:after="120"/>
      </w:pPr>
      <w:r>
        <w:rPr>
          <w:b/>
          <w:sz w:val="28"/>
        </w:rPr>
        <w:t xml:space="preserve">Table of Contents</w:t>
      </w:r>
    </w:p>
    <w:p w14:paraId="00100006" w14:textId="00100007">
      <w:pPr>
        <w:spacing w:after="360"/>
      </w:pPr>
      <w:r>
        <w:rPr>
          <w:sz w:val="22"/>
        </w:rPr>
        <w:t xml:space="preserve">1. Introduction</w:t>
      </w:r>
    </w:p>
    <w:p w14:paraId="00100008" w14:textId="00100009">
      <w:pPr>
        <w:spacing w:after="360"/>
      </w:pPr>
      <w:r>
        <w:rPr>
          <w:sz w:val="22"/>
        </w:rPr>
        <w:t xml:space="preserve">2. Dataset Description</w:t>
      </w:r>
    </w:p>
    <w:p w14:paraId="0010000A" w14:textId="0010000B">
      <w:pPr>
        <w:spacing w:after="360"/>
      </w:pPr>
      <w:r>
        <w:rPr>
          <w:sz w:val="22"/>
        </w:rPr>
        <w:t xml:space="preserve">3. Data Collection and Loading</w:t>
      </w:r>
    </w:p>
    <w:p w14:paraId="0010000C" w14:textId="0010000D">
      <w:pPr>
        <w:spacing w:after="360"/>
      </w:pPr>
      <w:r>
        <w:rPr>
          <w:sz w:val="22"/>
        </w:rPr>
        <w:t xml:space="preserve">4. Data Quality Check</w:t>
      </w:r>
    </w:p>
    <w:p w14:paraId="0010000E" w14:textId="0010000F">
      <w:pPr>
        <w:spacing w:after="360"/>
      </w:pPr>
      <w:r>
        <w:rPr>
          <w:sz w:val="22"/>
        </w:rPr>
        <w:t xml:space="preserve">5. Grouping and Summarization</w:t>
      </w:r>
    </w:p>
    <w:p w14:paraId="00100010" w14:textId="00100011">
      <w:pPr>
        <w:spacing w:after="360"/>
      </w:pPr>
      <w:r>
        <w:rPr>
          <w:sz w:val="22"/>
        </w:rPr>
        <w:t xml:space="preserve">6. Data Visualizations</w:t>
      </w:r>
    </w:p>
    <w:p w14:paraId="00100012" w14:textId="00100013">
      <w:pPr>
        <w:spacing w:after="360"/>
      </w:pPr>
      <w:r>
        <w:rPr>
          <w:sz w:val="22"/>
        </w:rPr>
        <w:t xml:space="preserve">7. Business Insights and Recommendations</w:t>
      </w:r>
    </w:p>
    <w:p w14:paraId="00100014" w14:textId="00100015">
      <w:pPr>
        <w:spacing w:after="360"/>
      </w:pPr>
      <w:r>
        <w:rPr>
          <w:sz w:val="22"/>
        </w:rPr>
        <w:t xml:space="preserve">8. Conclusion</w:t>
      </w:r>
    </w:p>
    <w:p w14:paraId="00100016" w14:textId="00100017">
      <w:pPr>
        <w:spacing w:after="360"/>
      </w:pPr>
      <w:r>
        <w:rPr>
          <w:sz w:val="22"/>
        </w:rPr>
        <w:t xml:space="preserve">9. References</w:t>
      </w:r>
    </w:p>
    <w:p w14:paraId="00100018" w14:textId="00100019">
      <w:pPr>
        <w:pStyle w:val="Heading1"/>
        <w:spacing w:before="240" w:after="120"/>
      </w:pPr>
      <w:r>
        <w:rPr>
          <w:b/>
          <w:sz w:val="32"/>
        </w:rPr>
        <w:t xml:space="preserve">1. Introduction</w:t>
      </w:r>
    </w:p>
    <w:p w14:paraId="0010001A" w14:textId="0010001B">
      <w:pPr>
        <w:spacing w:after="160"/>
      </w:pPr>
      <w:r>
        <w:rPr>
          <w:sz w:val="22"/>
        </w:rPr>
        <w:t xml:space="preserve">Customer churn — the rate at which customers stop doing business with a company — is one of the most significant challenges facing telecommunications providers. In a highly competitive market, retaining existing customers is far more cost-effective than acquiring new ones. Research suggests that acquiring a new customer can cost five to seven times more than retaining an existing one, making churn prediction and prevention a top-priority business problem.</w:t>
      </w:r>
    </w:p>
    <w:p w14:paraId="0010001C" w14:textId="0010001D">
      <w:pPr>
        <w:spacing w:after="160"/>
      </w:pPr>
      <w:r>
        <w:rPr>
          <w:sz w:val="22"/>
        </w:rPr>
        <w:t xml:space="preserve">This project performs a comprehensive exploratory data analysis (EDA) on the IBM Telco Customer Churn dataset. The objectives are to: (1) load and clean the dataset, (2) identify data quality issues, (3) group and summarize customer behaviour patterns, (4) visualize the results using comparative charts, and (5) derive actionable business recommendations to reduce churn.</w:t>
      </w:r>
    </w:p>
    <w:p w14:paraId="0010001E" w14:textId="0010001F">
      <w:pPr>
        <w:pStyle w:val="Heading1"/>
        <w:spacing w:before="240" w:after="120"/>
      </w:pPr>
      <w:r>
        <w:rPr>
          <w:b/>
          <w:sz w:val="32"/>
        </w:rPr>
        <w:t xml:space="preserve">2. Dataset Description</w:t>
      </w:r>
    </w:p>
    <w:p w14:paraId="00100020" w14:textId="00100021">
      <w:pPr>
        <w:spacing w:after="160"/>
      </w:pPr>
      <w:r>
        <w:rPr>
          <w:sz w:val="22"/>
        </w:rPr>
        <w:t xml:space="preserve">The dataset used in this project is the IBM Telco Customer Churn dataset, publicly available on Kaggle. It contains 7,043 customer records and 21 columns covering demographic information, subscribed services, account details, and a binary churn label.</w:t>
      </w:r>
    </w:p>
    <w:p w14:paraId="00100022" w14:textId="00100023">
      <w:pPr>
        <w:spacing w:after="80"/>
      </w:pPr>
      <w:r>
        <w:rPr>
          <w:sz w:val="22"/>
        </w:rPr>
        <w:t xml:space="preserve">Key columns include:</w:t>
      </w:r>
    </w:p>
    <w:p w14:paraId="00100024" w14:textId="00100025">
      <w:pPr>
        <w:spacing w:after="160"/>
      </w:pPr>
      <w:r>
        <w:rPr>
          <w:sz w:val="22"/>
        </w:rPr>
        <w:t xml:space="preserve">• customerID — Unique identifier for each customer</w:t>
      </w:r>
    </w:p>
    <w:p w14:paraId="00100026" w14:textId="00100027">
      <w:pPr>
        <w:spacing w:after="160"/>
      </w:pPr>
      <w:r>
        <w:rPr>
          <w:sz w:val="22"/>
        </w:rPr>
        <w:t xml:space="preserve">• gender — Male / Female</w:t>
      </w:r>
    </w:p>
    <w:p w14:paraId="00100028" w14:textId="00100029">
      <w:pPr>
        <w:spacing w:after="160"/>
      </w:pPr>
      <w:r>
        <w:rPr>
          <w:sz w:val="22"/>
        </w:rPr>
        <w:t xml:space="preserve">• SeniorCitizen — Binary flag (0 = Non-senior, 1 = Senior)</w:t>
      </w:r>
    </w:p>
    <w:p w14:paraId="0010002A" w14:textId="0010002B">
      <w:pPr>
        <w:spacing w:after="160"/>
      </w:pPr>
      <w:r>
        <w:rPr>
          <w:sz w:val="22"/>
        </w:rPr>
        <w:t xml:space="preserve">• Partner / Dependents — Whether the customer has a partner or dependents</w:t>
      </w:r>
    </w:p>
    <w:p w14:paraId="0010002C" w14:textId="0010002D">
      <w:pPr>
        <w:spacing w:after="160"/>
      </w:pPr>
      <w:r>
        <w:rPr>
          <w:sz w:val="22"/>
        </w:rPr>
        <w:t xml:space="preserve">• tenure — Number of months the customer has been with the company</w:t>
      </w:r>
    </w:p>
    <w:p w14:paraId="0010002E" w14:textId="0010002F">
      <w:pPr>
        <w:spacing w:after="160"/>
      </w:pPr>
      <w:r>
        <w:rPr>
          <w:sz w:val="22"/>
        </w:rPr>
        <w:t xml:space="preserve">• PhoneService / MultipleLines — Phone service subscription details</w:t>
      </w:r>
    </w:p>
    <w:p w14:paraId="00100030" w14:textId="00100031">
      <w:pPr>
        <w:spacing w:after="160"/>
      </w:pPr>
      <w:r>
        <w:rPr>
          <w:sz w:val="22"/>
        </w:rPr>
        <w:t xml:space="preserve">• InternetService — DSL, Fiber optic, or No internet</w:t>
      </w:r>
    </w:p>
    <w:p w14:paraId="00100032" w14:textId="00100033">
      <w:pPr>
        <w:spacing w:after="160"/>
      </w:pPr>
      <w:r>
        <w:rPr>
          <w:sz w:val="22"/>
        </w:rPr>
        <w:t xml:space="preserve">• OnlineSecurity / OnlineBackup / DeviceProtection / TechSupport / StreamingTV / StreamingMovies — Add-on service flags</w:t>
      </w:r>
    </w:p>
    <w:p w14:paraId="00100034" w14:textId="00100035">
      <w:pPr>
        <w:spacing w:after="160"/>
      </w:pPr>
      <w:r>
        <w:rPr>
          <w:sz w:val="22"/>
        </w:rPr>
        <w:t xml:space="preserve">• Contract — Month-to-month, One year, or Two year</w:t>
      </w:r>
    </w:p>
    <w:p w14:paraId="00100036" w14:textId="00100037">
      <w:pPr>
        <w:spacing w:after="160"/>
      </w:pPr>
      <w:r>
        <w:rPr>
          <w:sz w:val="22"/>
        </w:rPr>
        <w:t xml:space="preserve">• PaperlessBilling — Whether the customer uses paperless billing</w:t>
      </w:r>
    </w:p>
    <w:p w14:paraId="00100038" w14:textId="00100039">
      <w:pPr>
        <w:spacing w:after="160"/>
      </w:pPr>
      <w:r>
        <w:rPr>
          <w:sz w:val="22"/>
        </w:rPr>
        <w:t xml:space="preserve">• PaymentMethod — Electronic check, Mailed check, Bank transfer, Credit card</w:t>
      </w:r>
    </w:p>
    <w:p w14:paraId="0010003A" w14:textId="0010003B">
      <w:pPr>
        <w:spacing w:after="160"/>
      </w:pPr>
      <w:r>
        <w:rPr>
          <w:sz w:val="22"/>
        </w:rPr>
        <w:t xml:space="preserve">• MonthlyCharges / TotalCharges — Billing amounts</w:t>
      </w:r>
    </w:p>
    <w:p w14:paraId="0010003C" w14:textId="0010003D">
      <w:pPr>
        <w:spacing w:after="160"/>
      </w:pPr>
      <w:r>
        <w:rPr>
          <w:sz w:val="22"/>
        </w:rPr>
        <w:t xml:space="preserve">• Churn — Target variable: Yes (churned) or No (retained)</w:t>
      </w:r>
    </w:p>
    <w:p w14:paraId="0010003E" w14:textId="0010003F">
      <w:pPr>
        <w:pStyle w:val="Heading1"/>
        <w:spacing w:before="240" w:after="120"/>
      </w:pPr>
      <w:r>
        <w:rPr>
          <w:b/>
          <w:sz w:val="32"/>
        </w:rPr>
        <w:t xml:space="preserve">3. Data Collection and Loading</w:t>
      </w:r>
    </w:p>
    <w:p w14:paraId="00100040" w14:textId="00100041">
      <w:pPr>
        <w:spacing w:after="160"/>
      </w:pPr>
      <w:r>
        <w:rPr>
          <w:sz w:val="22"/>
        </w:rPr>
        <w:t xml:space="preserve">The dataset was loaded from a CSV file using the pandas library. The pd.read_csv() function was used to read the comma-separated values file into a DataFrame. Upon loading, the shape of the data was confirmed to be 7,043 rows by 21 columns. Data types were inspected using df.dtypes, and an initial preview was printed using df.head().</w:t>
      </w:r>
    </w:p>
    <w:p w14:paraId="00100042" w14:textId="00100043">
      <w:pPr>
        <w:spacing w:after="160"/>
      </w:pPr>
      <w:r>
        <w:rPr>
          <w:sz w:val="22"/>
        </w:rPr>
        <w:t xml:space="preserve">Libraries used at this stage: pandas for data loading, numpy for numerical operations.</w:t>
      </w:r>
    </w:p>
    <w:p w14:paraId="00100044" w14:textId="00100045">
      <w:pPr>
        <w:pStyle w:val="Heading1"/>
        <w:spacing w:before="240" w:after="120"/>
      </w:pPr>
      <w:r>
        <w:rPr>
          <w:b/>
          <w:sz w:val="32"/>
        </w:rPr>
        <w:t xml:space="preserve">4. Data Quality Check</w:t>
      </w:r>
    </w:p>
    <w:p w14:paraId="00100046" w14:textId="00100047">
      <w:pPr>
        <w:spacing w:after="120"/>
      </w:pPr>
      <w:r>
        <w:rPr>
          <w:sz w:val="22"/>
        </w:rPr>
        <w:t xml:space="preserve">Several data quality issues were identified and resolved:</w:t>
      </w:r>
    </w:p>
    <w:p w14:paraId="00100048" w14:textId="00100049">
      <w:pPr>
        <w:spacing w:after="120"/>
      </w:pPr>
      <w:r>
        <w:rPr>
          <w:sz w:val="22"/>
        </w:rPr>
        <w:t xml:space="preserve">Issue 1 — TotalCharges stored as object type: The TotalCharges column, which should be numeric, was stored as a string/object type. This was caused by whitespace values for new customers (tenure = 0). Resolution: pd.to_numeric() with errors='coerce' was applied, converting blank strings to NaN, which were then filled with 0.</w:t>
      </w:r>
    </w:p>
    <w:p w14:paraId="0010004A" w14:textId="0010004B">
      <w:pPr>
        <w:spacing w:after="120"/>
      </w:pPr>
      <w:r>
        <w:rPr>
          <w:sz w:val="22"/>
        </w:rPr>
        <w:t xml:space="preserve">Issue 2 — SeniorCitizen stored as binary integer: The SeniorCitizen column used 0/1 encoding. A new descriptive column SeniorCitizenLabel was created with 'Senior' / 'Non-Senior' labels for readability in visualizations.</w:t>
      </w:r>
    </w:p>
    <w:p w14:paraId="0010004C" w14:textId="0010004D">
      <w:pPr>
        <w:spacing w:after="120"/>
      </w:pPr>
      <w:r>
        <w:rPr>
          <w:sz w:val="22"/>
        </w:rPr>
        <w:t xml:space="preserve">Issue 3 — Churn as text flag: The Churn column (Yes/No) was mapped to a numeric ChurnFlag (1/0) to enable mathematical aggregation such as mean churn rates.</w:t>
      </w:r>
    </w:p>
    <w:p w14:paraId="0010004E" w14:textId="0010004F">
      <w:pPr>
        <w:spacing w:after="120"/>
      </w:pPr>
      <w:r>
        <w:rPr>
          <w:sz w:val="22"/>
        </w:rPr>
        <w:t xml:space="preserve">Issue 4 — Duplicate records: A check for duplicate rows using df.duplicated() confirmed zero duplicates in the dataset.</w:t>
      </w:r>
    </w:p>
    <w:p w14:paraId="00100050" w14:textId="00100051">
      <w:pPr>
        <w:spacing w:after="160"/>
      </w:pPr>
      <w:r>
        <w:rPr>
          <w:sz w:val="22"/>
        </w:rPr>
        <w:t xml:space="preserve">Issue 5 — Null values: The original dataset contained no null values except those introduced via TotalCharges coercion. All nulls were appropriately handled before further analysis.</w:t>
      </w:r>
    </w:p>
    <w:p w14:paraId="00100052" w14:textId="00100053">
      <w:pPr>
        <w:spacing w:after="160"/>
      </w:pPr>
      <w:r>
        <w:rPr>
          <w:sz w:val="22"/>
        </w:rPr>
        <w:t xml:space="preserve">After cleaning, summary statistics showed: median tenure of 29 months, average monthly charge of $64.76, and average total charges of $2,283.30.</w:t>
      </w:r>
    </w:p>
    <w:p w14:paraId="00100054" w14:textId="00100055">
      <w:pPr>
        <w:pStyle w:val="Heading1"/>
        <w:spacing w:before="240" w:after="120"/>
      </w:pPr>
      <w:r>
        <w:rPr>
          <w:b/>
          <w:sz w:val="32"/>
        </w:rPr>
        <w:t xml:space="preserve">5. Grouping and Summarization</w:t>
      </w:r>
    </w:p>
    <w:p w14:paraId="00100056" w14:textId="00100057">
      <w:pPr>
        <w:spacing w:after="160"/>
      </w:pPr>
      <w:r>
        <w:rPr>
          <w:sz w:val="22"/>
        </w:rPr>
        <w:t xml:space="preserve">The dataset was segmented across multiple dimensions to understand churn behaviour. The groupby() function was used with aggregation methods (count, sum, mean) to compute churn rates per group.</w:t>
      </w:r>
    </w:p>
    <w:p w14:paraId="00100058" w14:textId="00100059">
      <w:pPr>
        <w:pStyle w:val="Heading2"/>
        <w:spacing w:after="80"/>
      </w:pPr>
      <w:r>
        <w:rPr>
          <w:b/>
          <w:sz w:val="26"/>
        </w:rPr>
        <w:t xml:space="preserve">5.1 Overall Churn Rate</w:t>
      </w:r>
    </w:p>
    <w:p w14:paraId="0010005A" w14:textId="0010005B">
      <w:pPr>
        <w:spacing w:after="160"/>
      </w:pPr>
      <w:r>
        <w:rPr>
          <w:sz w:val="22"/>
        </w:rPr>
        <w:t xml:space="preserve">The overall churn rate was 26.54%, representing 1,869 churned customers out of 7,043 total. This establishes the baseline for all subsequent group comparisons.</w:t>
      </w:r>
    </w:p>
    <w:p w14:paraId="0010005C" w14:textId="0010005D">
      <w:pPr>
        <w:pStyle w:val="Heading2"/>
        <w:spacing w:after="80"/>
      </w:pPr>
      <w:r>
        <w:rPr>
          <w:b/>
          <w:sz w:val="26"/>
        </w:rPr>
        <w:t xml:space="preserve">5.2 Churn by Contract Type</w:t>
      </w:r>
    </w:p>
    <w:p w14:paraId="0010005E" w14:textId="001000AE">
      <w:pPr>
        <w:spacing w:after="160"/>
      </w:pPr>
      <w:r>
        <w:rPr>
          <w:sz w:val="22"/>
        </w:rPr>
        <w:t xml:space="preserve">Month-to-month contract customers had a churn rate of 42.71%, compared to 11.3% for one-year and 2.8% for two-year contracts. This represents the single strongest predictor of churn in the dataset — month-to-month customers are over 15 times more likely to churn than two-year contract holders.</w:t>
      </w:r>
    </w:p>
    <w:p w14:paraId="00100060" w14:textId="00100061">
      <w:pPr>
        <w:pStyle w:val="Heading2"/>
        <w:spacing w:after="80"/>
      </w:pPr>
      <w:r>
        <w:rPr>
          <w:b/>
          <w:sz w:val="26"/>
        </w:rPr>
        <w:t xml:space="preserve">5.3 Churn by Internet Service</w:t>
      </w:r>
    </w:p>
    <w:p w14:paraId="00100062" w14:textId="001000AF">
      <w:pPr>
        <w:spacing w:after="160"/>
      </w:pPr>
      <w:r>
        <w:rPr>
          <w:sz w:val="22"/>
        </w:rPr>
        <w:t xml:space="preserve">Fiber optic internet subscribers exhibited a churn rate of 41.89%, substantially higher than DSL subscribers (19.0%) and customers with no internet service (7.4%). This may indicate dissatisfaction with service quality or price-value perception among fiber optic users.</w:t>
      </w:r>
    </w:p>
    <w:p w14:paraId="00100064" w14:textId="00100065">
      <w:pPr>
        <w:pStyle w:val="Heading2"/>
        <w:spacing w:after="80"/>
      </w:pPr>
      <w:r>
        <w:rPr>
          <w:b/>
          <w:sz w:val="26"/>
        </w:rPr>
        <w:t xml:space="preserve">5.4 Churn by Payment Method</w:t>
      </w:r>
    </w:p>
    <w:p w14:paraId="00100066" w14:textId="001000B1">
      <w:pPr>
        <w:spacing w:after="160"/>
      </w:pPr>
      <w:r>
        <w:rPr>
          <w:sz w:val="22"/>
        </w:rPr>
        <w:t xml:space="preserve">Customers paying by electronic check had the highest churn rate at 45.29%, while those using automatic bank transfer (16.7%) and credit card (15.2%) churned at roughly one-third that rate. Manual payment methods appear strongly correlated with higher churn.</w:t>
      </w:r>
    </w:p>
    <w:p w14:paraId="00100068" w14:textId="00100069">
      <w:pPr>
        <w:pStyle w:val="Heading2"/>
        <w:spacing w:after="80"/>
      </w:pPr>
      <w:r>
        <w:rPr>
          <w:b/>
          <w:sz w:val="26"/>
        </w:rPr>
        <w:t xml:space="preserve">5.5 Churn by Tenure Group</w:t>
      </w:r>
    </w:p>
    <w:p w14:paraId="0010006A" w14:textId="0010006B">
      <w:pPr>
        <w:spacing w:after="160"/>
      </w:pPr>
      <w:r>
        <w:rPr>
          <w:sz w:val="22"/>
        </w:rPr>
        <w:t xml:space="preserve">The highest churn rate was observed in the 0–12 month group (~47.7%), declining sharply with longer tenure: 13–24 months (~35%), 25–48 months (~20%), and 49–72 months (~8%). This confirms that the first year of a customer relationship is the most critical period for retention.</w:t>
      </w:r>
    </w:p>
    <w:p w14:paraId="0010006C" w14:textId="0010006D">
      <w:pPr>
        <w:pStyle w:val="Heading2"/>
        <w:spacing w:after="80"/>
      </w:pPr>
      <w:r>
        <w:rPr>
          <w:b/>
          <w:sz w:val="26"/>
        </w:rPr>
        <w:t xml:space="preserve">5.6 Churn by Add-On Services</w:t>
      </w:r>
    </w:p>
    <w:p w14:paraId="0010006E" w14:textId="0010006F">
      <w:pPr>
        <w:spacing w:after="160"/>
      </w:pPr>
      <w:r>
        <w:rPr>
          <w:sz w:val="22"/>
        </w:rPr>
        <w:t xml:space="preserve">Customers who did not subscribe to OnlineSecurity, TechSupport, or OnlineBackup had churn rates roughly double those of subscribers. For example, customers without OnlineSecurity churned at ~42% versus ~15% for those with it. These add-on services appear to act as retention anchors.</w:t>
      </w:r>
    </w:p>
    <w:p w14:paraId="00100070" w14:textId="00100071">
      <w:pPr>
        <w:pStyle w:val="Heading2"/>
        <w:spacing w:after="80"/>
      </w:pPr>
      <w:r>
        <w:rPr>
          <w:b/>
          <w:sz w:val="26"/>
        </w:rPr>
        <w:t xml:space="preserve">5.7 Churn by Senior Citizen Status</w:t>
      </w:r>
    </w:p>
    <w:p w14:paraId="00100072" w14:textId="001000B4">
      <w:pPr>
        <w:spacing w:after="160"/>
      </w:pPr>
      <w:r>
        <w:rPr>
          <w:sz w:val="22"/>
        </w:rPr>
        <w:t xml:space="preserve">Senior citizens (SeniorCitizen = 1) had a churn rate of 41.68% compared to 23.61% for non-seniors. This demographic may face unique challenges such as complexity in service usage, price sensitivity, or inadequate customer support.</w:t>
      </w:r>
    </w:p>
    <w:p w14:paraId="00100074" w14:textId="00100075">
      <w:pPr>
        <w:pStyle w:val="Heading1"/>
        <w:spacing w:before="240" w:after="120"/>
      </w:pPr>
      <w:r>
        <w:rPr>
          <w:b/>
          <w:sz w:val="32"/>
        </w:rPr>
        <w:t xml:space="preserve">6. Data Visualizations</w:t>
      </w:r>
    </w:p>
    <w:p w14:paraId="00100076" w14:textId="00100077">
      <w:pPr>
        <w:spacing w:after="120"/>
      </w:pPr>
      <w:r>
        <w:rPr>
          <w:sz w:val="22"/>
        </w:rPr>
        <w:t xml:space="preserve">Eight charts were produced using matplotlib and seaborn to compare churn rates across dimensions. Each chart was saved as a PNG file and displayed in the analysis output.</w:t>
      </w:r>
    </w:p>
    <w:p w14:paraId="00100078" w14:textId="00100079">
      <w:pPr>
        <w:spacing w:after="160"/>
      </w:pPr>
      <w:r>
        <w:rPr>
          <w:sz w:val="22"/>
        </w:rPr>
        <w:t xml:space="preserve">Chart 1 — Overall Churn Distribution (Pie Chart): Shows that 73.5% of customers were retained and 26.5% churned.</w:t>
      </w:r>
    </w:p>
    <w:p w14:paraId="0010007A" w14:textId="0010007B">
      <w:pPr>
        <w:spacing w:after="160"/>
      </w:pPr>
      <w:r>
        <w:rPr>
          <w:sz w:val="22"/>
        </w:rPr>
        <w:t xml:space="preserve">Chart 2 — Churn Rate by Contract Type (Bar Chart): Highlights the steep churn gradient from month-to-month (42.7%) to two-year (2.8%) contracts.</w:t>
      </w:r>
    </w:p>
    <w:p w14:paraId="0010007C" w14:textId="001000B0">
      <w:pPr>
        <w:spacing w:after="160"/>
      </w:pPr>
      <w:r>
        <w:rPr>
          <w:sz w:val="22"/>
        </w:rPr>
        <w:t xml:space="preserve">Chart 3 — Churn Rate by Internet Service (Horizontal Bar): Contrasts fiber optic (41.89%) with DSL (19.0%) and no internet (7.4%).</w:t>
      </w:r>
    </w:p>
    <w:p w14:paraId="0010007E" w14:textId="0010007F">
      <w:pPr>
        <w:spacing w:after="160"/>
      </w:pPr>
      <w:r>
        <w:rPr>
          <w:sz w:val="22"/>
        </w:rPr>
        <w:t xml:space="preserve">Chart 4 — Monthly Charges Distribution — Churned vs Retained (KDE Plot): Reveals that churned customers are concentrated at higher monthly charge bands ($70–$110).</w:t>
      </w:r>
    </w:p>
    <w:p w14:paraId="00100080" w14:textId="00100081">
      <w:pPr>
        <w:spacing w:after="160"/>
      </w:pPr>
      <w:r>
        <w:rPr>
          <w:sz w:val="22"/>
        </w:rPr>
        <w:t xml:space="preserve">Chart 5 — Churn Rate by Payment Method (Horizontal Bar): Electronic check customers churn at nearly 3× the rate of automatic payment users.</w:t>
      </w:r>
    </w:p>
    <w:p w14:paraId="00100082" w14:textId="00100083">
      <w:pPr>
        <w:spacing w:after="160"/>
      </w:pPr>
      <w:r>
        <w:rPr>
          <w:sz w:val="22"/>
        </w:rPr>
        <w:t xml:space="preserve">Chart 6 — Churn Rate by Tenure Group (Bar Chart): Demonstrates the critical first-year churn problem.</w:t>
      </w:r>
    </w:p>
    <w:p w14:paraId="00100084" w14:textId="00100085">
      <w:pPr>
        <w:spacing w:after="160"/>
      </w:pPr>
      <w:r>
        <w:rPr>
          <w:sz w:val="22"/>
        </w:rPr>
        <w:t xml:space="preserve">Chart 7 — Service Subscription Heatmap: Shows churn rate for Yes vs No subscription across 6 add-on services.</w:t>
      </w:r>
    </w:p>
    <w:p w14:paraId="00100086" w14:textId="00100087">
      <w:pPr>
        <w:spacing w:after="160"/>
      </w:pPr>
      <w:r>
        <w:rPr>
          <w:sz w:val="22"/>
        </w:rPr>
        <w:t xml:space="preserve">Chart 8 — Senior Status × Contract Type Churn (Grouped Bar): Illustrates how senior citizens on month-to-month contracts face the highest combined risk.</w:t>
      </w:r>
    </w:p>
    <w:p w14:paraId="00100088" w14:textId="00100089">
      <w:pPr>
        <w:pStyle w:val="Heading1"/>
        <w:spacing w:before="240" w:after="120"/>
      </w:pPr>
      <w:r>
        <w:rPr>
          <w:b/>
          <w:sz w:val="32"/>
        </w:rPr>
        <w:t xml:space="preserve">7. Business Insights and Recommendations</w:t>
      </w:r>
    </w:p>
    <w:p w14:paraId="0010008A" w14:textId="0010008B">
      <w:pPr>
        <w:spacing w:after="120"/>
      </w:pPr>
      <w:r>
        <w:rPr>
          <w:sz w:val="22"/>
        </w:rPr>
        <w:t xml:space="preserve">Based on the analysis, seven actionable recommendations are proposed:</w:t>
      </w:r>
    </w:p>
    <w:p w14:paraId="0010008C" w14:textId="0010008D">
      <w:pPr>
        <w:spacing w:after="120"/>
      </w:pPr>
      <w:r>
        <w:rPr>
          <w:sz w:val="22"/>
        </w:rPr>
        <w:t xml:space="preserve">Recommendation 1 — Incentivise Contract Upgrades: Month-to-month customers represent the highest churn risk. Offering price-locked annual bundles at months 3–5 of tenure (when the customer has formed initial service impressions) could significantly reduce churn. A targeted campaign offering a 10–15% discount for upgrading to a 1-year contract is recommended.</w:t>
      </w:r>
    </w:p>
    <w:p w14:paraId="0010008E" w14:textId="0010008F">
      <w:pPr>
        <w:spacing w:after="120"/>
      </w:pPr>
      <w:r>
        <w:rPr>
          <w:sz w:val="22"/>
        </w:rPr>
        <w:t xml:space="preserve">Recommendation 2 — Investigate Fiber Optic Quality Issues: The elevated churn among fiber optic customers suggests underlying service quality or pricing concerns. A structured customer satisfaction survey targeted at fiber optic subscribers should be conducted, and competitive pricing benchmarks should be reviewed.</w:t>
      </w:r>
    </w:p>
    <w:p w14:paraId="00100090" w14:textId="00100091">
      <w:pPr>
        <w:spacing w:after="120"/>
      </w:pPr>
      <w:r>
        <w:rPr>
          <w:sz w:val="22"/>
        </w:rPr>
        <w:t xml:space="preserve">Recommendation 3 — Promote Auto-Payment Enrollment: Electronic check payers churn at nearly triple the rate of automatic payment users. Offering a monthly bill credit ($5–$10) for switching to auto-payment (bank transfer or credit card) would reduce friction and improve retention simultaneously.</w:t>
      </w:r>
    </w:p>
    <w:p w14:paraId="00100092" w14:textId="00100093">
      <w:pPr>
        <w:spacing w:after="120"/>
      </w:pPr>
      <w:r>
        <w:rPr>
          <w:sz w:val="22"/>
        </w:rPr>
        <w:t xml:space="preserve">Recommendation 4 — Launch a New-Customer Onboarding Programme: With ~47.7% churn in the first 12 months, a structured 90-day onboarding programme with proactive support check-ins, usage guides, and welcome discounts is critical. Early touchpoints prevent the 'regret churn' that peaks in months 1–3.</w:t>
      </w:r>
    </w:p>
    <w:p w14:paraId="00100094" w14:textId="00100095">
      <w:pPr>
        <w:spacing w:after="120"/>
      </w:pPr>
      <w:r>
        <w:rPr>
          <w:sz w:val="22"/>
        </w:rPr>
        <w:t xml:space="preserve">Recommendation 5 — Bundle Free Add-On Services: Customers without OnlineSecurity, TechSupport, or OnlineBackup churn at approximately double the rate. Offering a 3-month free trial of one add-on service at signup increases the customer's perceived value and creates a service dependency that discourages cancellation.</w:t>
      </w:r>
    </w:p>
    <w:p w14:paraId="00100096" w14:textId="001000B3">
      <w:pPr>
        <w:spacing w:after="120"/>
      </w:pPr>
      <w:r>
        <w:rPr>
          <w:sz w:val="22"/>
        </w:rPr>
        <w:t xml:space="preserve">Recommendation 6 — Create a Senior Citizen Service Tier: Senior citizens churn at 41.68% — nearly double the non-senior rate. A simplified, lower-cost senior plan with a dedicated support hotline and in-person service options (in partnership with community centres) would address this underserved segment.</w:t>
      </w:r>
    </w:p>
    <w:p w14:paraId="00100098" w14:textId="00100099">
      <w:pPr>
        <w:spacing w:after="160"/>
      </w:pPr>
      <w:r>
        <w:rPr>
          <w:sz w:val="22"/>
        </w:rPr>
        <w:t xml:space="preserve">Recommendation 7 — Introduce Price-Lock Guarantees for High-Spend Customers: Churned customers paid an average of $74.44/month versus $61.27 for retained customers. High-spend customers are most sensitive to bill shock and competitor offers. A price-lock guarantee for customers spending above $70/month — where the rate is frozen for 12 months — would reduce price-driven exits.</w:t>
      </w:r>
    </w:p>
    <w:p w14:paraId="0010009A" w14:textId="0010009B">
      <w:pPr>
        <w:pStyle w:val="Heading1"/>
        <w:spacing w:before="240" w:after="120"/>
      </w:pPr>
      <w:r>
        <w:rPr>
          <w:b/>
          <w:sz w:val="32"/>
        </w:rPr>
        <w:t xml:space="preserve">8. Conclusion</w:t>
      </w:r>
    </w:p>
    <w:p w14:paraId="0010009C" w14:textId="0010009D">
      <w:pPr>
        <w:spacing w:after="160"/>
      </w:pPr>
      <w:r>
        <w:rPr>
          <w:sz w:val="22"/>
        </w:rPr>
        <w:t xml:space="preserve">This project demonstrated a complete data analysis workflow on the IBM Telco Customer Churn dataset. After loading and cleaning 7,043 customer records, the analysis identified five primary churn drivers: contract type, internet service type, payment method, customer tenure, and add-on service adoption. Senior citizen status emerged as an additional demographic risk factor.</w:t>
      </w:r>
    </w:p>
    <w:p w14:paraId="0010009E" w14:textId="0010009F">
      <w:pPr>
        <w:spacing w:after="160"/>
      </w:pPr>
      <w:r>
        <w:rPr>
          <w:sz w:val="22"/>
        </w:rPr>
        <w:t xml:space="preserve">The visualizations clearly confirmed these patterns, showing that month-to-month contract holders, fiber optic subscribers, electronic check payers, and customers in their first 12 months are disproportionately likely to churn. The seven business recommendations derived from this analysis provide a practical roadmap for a telecom company to reduce churn rate from 26.5% toward an industry-competitive benchmark of under 15%.</w:t>
      </w:r>
    </w:p>
    <w:p w14:paraId="001000A0" w14:textId="001000A1">
      <w:pPr>
        <w:spacing w:after="160"/>
      </w:pPr>
      <w:r>
        <w:rPr>
          <w:sz w:val="22"/>
        </w:rPr>
        <w:t xml:space="preserve">Future work could extend this analysis with predictive machine learning models (logistic regression, random forest, XGBoost) to score individual customers by churn probability, enabling proactive retention outreach before churn occurs.</w:t>
      </w:r>
    </w:p>
    <w:p w14:paraId="001000A2" w14:textId="001000A3">
      <w:pPr>
        <w:pStyle w:val="Heading1"/>
        <w:spacing w:before="240" w:after="120"/>
      </w:pPr>
      <w:r>
        <w:rPr>
          <w:b/>
          <w:sz w:val="32"/>
        </w:rPr>
        <w:t xml:space="preserve">9. References</w:t>
      </w:r>
    </w:p>
    <w:p w14:paraId="001000A4" w14:textId="001000A5">
      <w:pPr>
        <w:spacing w:after="160"/>
      </w:pPr>
      <w:r>
        <w:rPr>
          <w:sz w:val="22"/>
        </w:rPr>
        <w:t xml:space="preserve">1. IBM Sample Datasets — Telco Customer Churn. Available at: https://www.kaggle.com/datasets/blastchar/telco-customer-churn</w:t>
      </w:r>
    </w:p>
    <w:p w14:paraId="001000A6" w14:textId="001000A7">
      <w:pPr>
        <w:spacing w:after="160"/>
      </w:pPr>
      <w:r>
        <w:rPr>
          <w:sz w:val="22"/>
        </w:rPr>
        <w:t xml:space="preserve">2. McKinsey &amp; Company (2022). Reducing customer churn in telecommunications. McKinsey Insights.</w:t>
      </w:r>
    </w:p>
    <w:p w14:paraId="001000A8" w14:textId="001000A9">
      <w:pPr>
        <w:spacing w:after="160"/>
      </w:pPr>
      <w:r>
        <w:rPr>
          <w:sz w:val="22"/>
        </w:rPr>
        <w:t xml:space="preserve">3. pandas Documentation — https://pandas.pydata.org/docs/</w:t>
      </w:r>
    </w:p>
    <w:p w14:paraId="001000AA" w14:textId="001000AB">
      <w:pPr>
        <w:spacing w:after="160"/>
      </w:pPr>
      <w:r>
        <w:rPr>
          <w:sz w:val="22"/>
        </w:rPr>
        <w:t xml:space="preserve">4. matplotlib Documentation — https://matplotlib.org/stable/contents.html</w:t>
      </w:r>
    </w:p>
    <w:p w14:paraId="001000AC" w14:textId="001000AD">
      <w:pPr>
        <w:spacing w:after="160"/>
      </w:pPr>
      <w:r>
        <w:rPr>
          <w:sz w:val="22"/>
        </w:rPr>
        <w:t xml:space="preserve">5. seaborn Documentation — https://seaborn.pydata.org/</w:t>
      </w:r>
    </w:p>
    <w:p w14:paraId="001000B5" w14:textId="001000B6">
      <w:pPr>
        <w:pStyle w:val="Heading1"/>
        <w:spacing w:before="240" w:after="120"/>
      </w:pPr>
      <w:r>
        <w:rPr>
          <w:b/>
          <w:sz w:val="32"/>
        </w:rPr>
        <w:t xml:space="preserve">10. Streamlit Interactive Dashboard</w:t>
      </w:r>
    </w:p>
    <w:p w14:paraId="001000B7" w14:textId="001000B8">
      <w:pPr>
        <w:pStyle w:val="Heading2"/>
        <w:spacing w:after="80"/>
      </w:pPr>
      <w:r>
        <w:rPr>
          <w:b/>
          <w:sz w:val="26"/>
        </w:rPr>
        <w:t xml:space="preserve">10.1 Overview</w:t>
      </w:r>
    </w:p>
    <w:p w14:paraId="001000B9" w14:textId="001000BA">
      <w:pPr>
        <w:spacing w:after="160"/>
      </w:pPr>
      <w:r>
        <w:rPr>
          <w:sz w:val="22"/>
        </w:rPr>
        <w:t xml:space="preserve">In addition to the static Python analysis script, an interactive web dashboard was built using Streamlit and Plotly. The dashboard allows any user — regardless of programming background — to explore the dataset, apply real-time filters, and view all findings through a professional, responsive interface without running any code.</w:t>
      </w:r>
    </w:p>
    <w:p w14:paraId="001000BB" w14:textId="001000BC">
      <w:pPr>
        <w:spacing w:after="160"/>
      </w:pPr>
      <w:r>
        <w:rPr>
          <w:sz w:val="22"/>
        </w:rPr>
        <w:t xml:space="preserve">The application file is app.py and is launched with the command: streamlit run app.py</w:t>
      </w:r>
    </w:p>
    <w:p w14:paraId="001000BD" w14:textId="001000BE">
      <w:pPr>
        <w:pStyle w:val="Heading2"/>
        <w:spacing w:after="80"/>
      </w:pPr>
      <w:r>
        <w:rPr>
          <w:b/>
          <w:sz w:val="26"/>
        </w:rPr>
        <w:t xml:space="preserve">10.2 Technology Stack</w:t>
      </w:r>
    </w:p>
    <w:p w14:paraId="001000BF" w14:textId="001000C0">
      <w:pPr>
        <w:spacing w:after="160"/>
      </w:pPr>
      <w:r>
        <w:rPr>
          <w:sz w:val="22"/>
        </w:rPr>
        <w:t xml:space="preserve">Streamlit (v1.28+): Python-native web framework for data apps. Renders the UI, handles state, and serves the dashboard locally on http://localhost:8501.</w:t>
      </w:r>
    </w:p>
    <w:p w14:paraId="001000C1" w14:textId="001000C2">
      <w:pPr>
        <w:spacing w:after="160"/>
      </w:pPr>
      <w:r>
        <w:rPr>
          <w:sz w:val="22"/>
        </w:rPr>
        <w:t xml:space="preserve">Plotly (v5.13+): Interactive charting library. All 9 charts are fully interactive — hover tooltips, zoom, pan, and download as PNG.</w:t>
      </w:r>
    </w:p>
    <w:p w14:paraId="001000C3" w14:textId="001000C4">
      <w:pPr>
        <w:spacing w:after="160"/>
      </w:pPr>
      <w:r>
        <w:rPr>
          <w:sz w:val="22"/>
        </w:rPr>
        <w:t xml:space="preserve">Pandas / NumPy: Data processing backend shared with the analysis script.</w:t>
      </w:r>
    </w:p>
    <w:p w14:paraId="001000C5" w14:textId="001000C6">
      <w:pPr>
        <w:spacing w:after="160"/>
      </w:pPr>
      <w:r>
        <w:rPr>
          <w:sz w:val="22"/>
        </w:rPr>
        <w:t xml:space="preserve">CSS (inline): Custom styling for KPI cards, insight boxes, recommendation cards, and tab headers.</w:t>
      </w:r>
    </w:p>
    <w:p w14:paraId="001000C7" w14:textId="001000C8">
      <w:pPr>
        <w:pStyle w:val="Heading2"/>
        <w:spacing w:after="80"/>
      </w:pPr>
      <w:r>
        <w:rPr>
          <w:b/>
          <w:sz w:val="26"/>
        </w:rPr>
        <w:t xml:space="preserve">10.3 Dashboard Structure — 5 Tabs</w:t>
      </w:r>
    </w:p>
    <w:p w14:paraId="001000C9" w14:textId="001000CA">
      <w:pPr>
        <w:spacing w:after="80"/>
      </w:pPr>
      <w:r>
        <w:rPr>
          <w:sz w:val="22"/>
        </w:rPr>
        <w:t xml:space="preserve">The dashboard is organized into five tabs that mirror the five analysis steps:</w:t>
      </w:r>
    </w:p>
    <w:p w14:paraId="001000CB" w14:textId="001000CC">
      <w:pPr>
        <w:spacing w:after="160"/>
      </w:pPr>
      <w:r>
        <w:rPr>
          <w:sz w:val="22"/>
        </w:rPr>
        <w:t xml:space="preserve">Tab 1 — Overview (Step 1: Collect &amp; Load): Displays 5 KPI cards (Total Customers, Churned, Churn Rate, Avg Monthly Bill, Avg Tenure), a Revenue at Risk callout, an interactive dataset preview table, and a full column description reference guide.</w:t>
      </w:r>
    </w:p>
    <w:p w14:paraId="001000CD" w14:textId="001000CE">
      <w:pPr>
        <w:spacing w:after="160"/>
      </w:pPr>
      <w:r>
        <w:rPr>
          <w:sz w:val="22"/>
        </w:rPr>
        <w:t xml:space="preserve"/>
      </w:r>
    </w:p>
    <w:p w14:paraId="001000CF" w14:textId="001000D0">
      <w:pPr>
        <w:spacing w:after="160"/>
      </w:pPr>
      <w:r>
        <w:rPr>
          <w:sz w:val="22"/>
        </w:rPr>
        <w:t xml:space="preserve">Tab 2 — Data Quality (Step 2: Check for Issues): Shows 3 quality metric cards (missing values, duplicates, TotalCharges blanks), a list of all data fixes applied, data type comparison (before vs after cleaning), numeric summary statistics, and distribution bar charts for all key categorical columns.</w:t>
      </w:r>
    </w:p>
    <w:p w14:paraId="001000D1" w14:textId="001000D2">
      <w:pPr>
        <w:spacing w:after="160"/>
      </w:pPr>
      <w:r>
        <w:rPr>
          <w:sz w:val="22"/>
        </w:rPr>
        <w:t xml:space="preserve"/>
      </w:r>
    </w:p>
    <w:p w14:paraId="001000D3" w14:textId="001000D4">
      <w:pPr>
        <w:spacing w:after="160"/>
      </w:pPr>
      <w:r>
        <w:rPr>
          <w:sz w:val="22"/>
        </w:rPr>
        <w:t xml:space="preserve">Tab 3 — Group Analysis (Step 3: Group &amp; Summarize): Features a live churn rate gauge meter, Quick Stats metrics, average charges comparison between churned and retained customers, and 4 colour-gradient summary tables (Contract, Internet Service, Payment Method, Tenure Group) with conditional formatting.</w:t>
      </w:r>
    </w:p>
    <w:p w14:paraId="001000D5" w14:textId="001000D6">
      <w:pPr>
        <w:spacing w:after="160"/>
      </w:pPr>
      <w:r>
        <w:rPr>
          <w:sz w:val="22"/>
        </w:rPr>
        <w:t xml:space="preserve"/>
      </w:r>
    </w:p>
    <w:p w14:paraId="001000D7" w14:textId="001000D8">
      <w:pPr>
        <w:spacing w:after="160"/>
      </w:pPr>
      <w:r>
        <w:rPr>
          <w:sz w:val="22"/>
        </w:rPr>
        <w:t xml:space="preserve">Tab 4 — Charts (Step 4: Visualize): Contains 9 fully interactive Plotly charts: overall churn pie, contract bar, internet horizontal bar, monthly charges violin plot, payment horizontal bar, tenure group bar, add-on services heatmap, senior × contract grouped bar, and a scatter plot of tenure vs monthly charges coloured by churn status.</w:t>
      </w:r>
    </w:p>
    <w:p w14:paraId="001000D9" w14:textId="001000DA">
      <w:pPr>
        <w:spacing w:after="160"/>
      </w:pPr>
      <w:r>
        <w:rPr>
          <w:sz w:val="22"/>
        </w:rPr>
        <w:t xml:space="preserve"/>
      </w:r>
    </w:p>
    <w:p w14:paraId="001000DB" w14:textId="001000DC">
      <w:pPr>
        <w:spacing w:after="160"/>
      </w:pPr>
      <w:r>
        <w:rPr>
          <w:sz w:val="22"/>
        </w:rPr>
        <w:t xml:space="preserve">Tab 5 — Business Insights (Step 5: Decisions): Presents 4 high-risk segment KPI cards, 7 styled recommendation cards (each with a finding, action, and numbered priority), and a Priority Matrix scatter plot mapping recommendations by implementation ease vs business impact.</w:t>
      </w:r>
    </w:p>
    <w:p w14:paraId="001000DD" w14:textId="001000DE">
      <w:pPr>
        <w:pStyle w:val="Heading2"/>
        <w:spacing w:after="80"/>
      </w:pPr>
      <w:r>
        <w:rPr>
          <w:b/>
          <w:sz w:val="26"/>
        </w:rPr>
        <w:t xml:space="preserve">10.4 Sidebar Filters</w:t>
      </w:r>
    </w:p>
    <w:p w14:paraId="001000DF" w14:textId="001000E0">
      <w:pPr>
        <w:spacing w:after="160"/>
      </w:pPr>
      <w:r>
        <w:rPr>
          <w:sz w:val="22"/>
        </w:rPr>
        <w:t xml:space="preserve">The left sidebar contains four real-time multi-select filters: Gender, Senior Citizen Status, Contract Type, and Internet Service. Every chart, KPI, table, and summary on all tabs updates instantly as the user adjusts these filters, enabling drill-down analysis for any customer segment without writing code.</w:t>
      </w:r>
    </w:p>
    <w:p w14:paraId="001000E1" w14:textId="001000E2">
      <w:pPr>
        <w:spacing w:after="160"/>
      </w:pPr>
      <w:r>
        <w:rPr>
          <w:sz w:val="22"/>
        </w:rPr>
        <w:t xml:space="preserve">The sidebar also supports CSV upload, allowing the dashboard to work with any similarly-structured customer dataset, not just the default IBM Telco file.</w:t>
      </w:r>
    </w:p>
    <w:p w14:paraId="001000E3" w14:textId="001000E4">
      <w:pPr>
        <w:pStyle w:val="Heading2"/>
        <w:spacing w:after="80"/>
      </w:pPr>
      <w:r>
        <w:rPr>
          <w:b/>
          <w:sz w:val="26"/>
        </w:rPr>
        <w:t xml:space="preserve">10.5 How to Run the Dashboard</w:t>
      </w:r>
    </w:p>
    <w:p w14:paraId="001000E5" w14:textId="001000E6">
      <w:pPr>
        <w:spacing w:after="160"/>
      </w:pPr>
      <w:r>
        <w:rPr>
          <w:sz w:val="22"/>
        </w:rPr>
        <w:t xml:space="preserve">Step 1 — Install dependencies: pip install -r requirements.txt</w:t>
      </w:r>
    </w:p>
    <w:p w14:paraId="001000E7" w14:textId="001000E8">
      <w:pPr>
        <w:spacing w:after="160"/>
      </w:pPr>
      <w:r>
        <w:rPr>
          <w:sz w:val="22"/>
        </w:rPr>
        <w:t xml:space="preserve">Step 2 — Ensure the CSV file is in the same directory as app.py</w:t>
      </w:r>
    </w:p>
    <w:p w14:paraId="001000E9" w14:textId="001000EA">
      <w:pPr>
        <w:spacing w:after="160"/>
      </w:pPr>
      <w:r>
        <w:rPr>
          <w:sz w:val="22"/>
        </w:rPr>
        <w:t xml:space="preserve">Step 3 — Launch the dashboard: streamlit run app.py</w:t>
      </w:r>
    </w:p>
    <w:p w14:paraId="001000EB" w14:textId="001000EC">
      <w:pPr>
        <w:spacing w:after="160"/>
      </w:pPr>
      <w:r>
        <w:rPr>
          <w:sz w:val="22"/>
        </w:rPr>
        <w:t xml:space="preserve">Step 4 — The browser will open automatically at http://localhost:8501</w:t>
      </w:r>
    </w:p>
    <w:p w14:paraId="001000ED" w14:textId="001000EE">
      <w:pPr>
        <w:spacing w:after="160"/>
      </w:pPr>
      <w:r>
        <w:rPr>
          <w:sz w:val="22"/>
        </w:rPr>
        <w:t xml:space="preserve">Step 5 — Use the sidebar filters to explore customer segments interactively</w:t>
      </w:r>
    </w:p>
    <w:p w14:paraId="001000EF" w14:textId="001000F0">
      <w:pPr>
        <w:pStyle w:val="Heading2"/>
        <w:spacing w:after="80"/>
      </w:pPr>
      <w:r>
        <w:rPr>
          <w:b/>
          <w:sz w:val="26"/>
        </w:rPr>
        <w:t xml:space="preserve">10.6 Key UI Design Decisions</w:t>
      </w:r>
    </w:p>
    <w:p w14:paraId="001000F1" w14:textId="001000F2">
      <w:pPr>
        <w:spacing w:after="160"/>
      </w:pPr>
      <w:r>
        <w:rPr>
          <w:sz w:val="22"/>
        </w:rPr>
        <w:t xml:space="preserve">Colour coding: Red (#ef4444) for high churn / risk, Green (#22c55e) for safe/retained, Amber (#f59e0b) for medium risk, Blue (#3b82f6) for neutral metrics — consistent across all charts and KPI cards.</w:t>
      </w:r>
    </w:p>
    <w:p w14:paraId="001000F3" w14:textId="001000F4">
      <w:pPr>
        <w:spacing w:after="160"/>
      </w:pPr>
      <w:r>
        <w:rPr>
          <w:sz w:val="22"/>
        </w:rPr>
        <w:t xml:space="preserve"/>
      </w:r>
    </w:p>
    <w:p w14:paraId="001000F5" w14:textId="001000F6">
      <w:pPr>
        <w:spacing w:after="160"/>
      </w:pPr>
      <w:r>
        <w:rPr>
          <w:sz w:val="22"/>
        </w:rPr>
        <w:t xml:space="preserve">Readability: All fonts use system-ui/Segoe UI at 11–14pt. Section headers are separated by a bottom border. KPI values are rendered at 2rem for immediate at-a-glance reading.</w:t>
      </w:r>
    </w:p>
    <w:p w14:paraId="001000F7" w14:textId="001000F8">
      <w:pPr>
        <w:spacing w:after="160"/>
      </w:pPr>
      <w:r>
        <w:rPr>
          <w:sz w:val="22"/>
        </w:rPr>
        <w:t xml:space="preserve"/>
      </w:r>
    </w:p>
    <w:p w14:paraId="001000F9" w14:textId="001000FA">
      <w:pPr>
        <w:spacing w:after="160"/>
      </w:pPr>
      <w:r>
        <w:rPr>
          <w:sz w:val="22"/>
        </w:rPr>
        <w:t xml:space="preserve">Interactivity: Plotly charts support hover tooltips showing exact values, zoom/pan, and one-click PNG export. Violin plots are used instead of KDE density plots for richer distribution insight.</w:t>
      </w:r>
    </w:p>
    <w:p w14:paraId="001000FB" w14:textId="001000FC">
      <w:pPr>
        <w:spacing w:after="160"/>
      </w:pPr>
      <w:r>
        <w:rPr>
          <w:sz w:val="22"/>
        </w:rPr>
        <w:t xml:space="preserve"/>
      </w:r>
    </w:p>
    <w:p w14:paraId="001000FD" w14:textId="001000FE">
      <w:pPr>
        <w:spacing w:after="160"/>
      </w:pPr>
      <w:r>
        <w:rPr>
          <w:sz w:val="22"/>
        </w:rPr>
        <w:t xml:space="preserve">Accessibility: The sidebar can be collapsed for a wider view. The layout uses a maximum of 2 columns per row to avoid information overload.</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8a84b96cd5d741a1" /><Relationship Type="http://schemas.openxmlformats.org/officeDocument/2006/relationships/styles" Target="/word/styles.xml" Id="R993ee2b6266d4918" /><Relationship Type="http://schemas.openxmlformats.org/officeDocument/2006/relationships/theme" Target="/word/theme/theme1.xml" Id="R479530c5ac764db3" /><Relationship Type="http://schemas.openxmlformats.org/officeDocument/2006/relationships/numbering" Target="/word/numbering.xml" Id="R167936d840eb4fc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2026-09-23T18:26:02Z</dcterms:created>
  <cp:lastModifiedBy>OfficeCLI</cp:lastModifiedBy>
  <dcterms:modified xsi:type="dcterms:W3CDTF">2026-09-23T18:26:02Z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2026-09-23T18:49:21Z</vt:lpwstr>
  </op:property>
</op:Properties>
</file>