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1. what Drugres did teaxs used?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DRUGRES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test_count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'Texas'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DRUGRES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test_count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13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2. What Drugres did Alabama used?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DRUGRES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test_count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'Alabama'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DRUGRES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test_count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What is the ST_CASE number of ohio?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ST_CASE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'Ohio'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143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4.which Drugspec is used by tennessee?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DRUGSPEC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'Tennessee'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14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What is the VEH_NO of New jersey?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VEH_NO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'New Jersey'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143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6.What is the DATE_PARTITION of Florida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DATE_PARTITION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'Florida'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what is the ST_CASE of Arizona? </w:t>
      </w: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ST_CASE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'Arizona'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914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What is the DRUGSPEC used by West Virginia?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DRUGSPEC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`bigquery-public-data.dataflix_traffic_safety.drugs`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'West Virginia'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143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Joint SQL Code: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9. List distracted driving incidents and associated damages 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dmg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`bigquery-public-data.dataflix_traffic_safety.distract`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`bigquery-public-data.dataflix_traffic_safety.damage`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dmg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d.ST_CASE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dmg.ST_CASE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16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Roboto Mono" w:cs="Roboto Mono" w:eastAsia="Roboto Mono" w:hAnsi="Roboto Mono"/>
          <w:color w:val="3a474e"/>
          <w:sz w:val="24"/>
          <w:szCs w:val="24"/>
          <w:rtl w:val="0"/>
        </w:rPr>
        <w:t xml:space="preserve">List the Common STATE and ST_CASE from joint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d.STATE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ST_CASE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`bigquery-public-data.dataflix_traffic_safety.distract`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`bigquery-public-data.dataflix_traffic_safety.damage`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dmg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d.ST_CASE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dmg.ST_CASE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d.STATE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ST_CASE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358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