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left"/>
      </w:pPr>
      <w:r>
        <w:rPr>
          <w:rFonts w:ascii="Calibri" w:hAnsi="Calibri"/>
          <w:b/>
          <w:color w:val="1F4E78"/>
          <w:sz w:val="40"/>
        </w:rPr>
        <w:t>Dry-EEG Biosignal Analysis &amp; Benchmark Report</w:t>
      </w:r>
    </w:p>
    <w:p>
      <w:pPr>
        <w:spacing w:after="80"/>
      </w:pPr>
      <w:r/>
      <w:r>
        <w:rPr>
          <w:b/>
        </w:rPr>
        <w:t>Project:</w:t>
      </w:r>
      <w:r>
        <w:t xml:space="preserve"> NeuroLimb Brain-Computer Interface (BNMIT Final Year Project)</w:t>
      </w:r>
    </w:p>
    <w:p>
      <w:pPr>
        <w:spacing w:after="80"/>
      </w:pPr>
      <w:r/>
      <w:r>
        <w:rPr>
          <w:b/>
        </w:rPr>
        <w:t>Hardware Setup:</w:t>
      </w:r>
      <w:r>
        <w:t xml:space="preserve"> Anthriq Bio-Amplifier + NI-DAQ USB-600X (Single Differential Channel `Dev1/ai0`)</w:t>
      </w:r>
    </w:p>
    <w:p>
      <w:pPr>
        <w:spacing w:after="80"/>
      </w:pPr>
      <w:r/>
      <w:r>
        <w:rPr>
          <w:b/>
        </w:rPr>
        <w:t>Sensor Typology:</w:t>
      </w:r>
      <w:r>
        <w:t xml:space="preserve"> Dry multipronged conductive polymer brush electrodes (No gel/saline)</w:t>
      </w:r>
    </w:p>
    <w:p>
      <w:pPr>
        <w:spacing w:after="80"/>
      </w:pPr>
      <w:r/>
      <w:r>
        <w:rPr>
          <w:b/>
        </w:rPr>
        <w:t>Participants Analyzed:</w:t>
      </w:r>
      <w:r>
        <w:t xml:space="preserve"> Chinmaya, Guru Raj, Harsha, Keerthana (3 Phases per participant)</w:t>
      </w:r>
    </w:p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color w:val="2E75B6"/>
          <w:sz w:val="28"/>
        </w:rPr>
        <w:t>1. Executive Summary &amp; Key Research Takeaways</w:t>
      </w:r>
    </w:p>
    <w:p>
      <w:pPr>
        <w:pStyle w:val="ListNumber"/>
        <w:spacing w:after="60"/>
      </w:pPr>
      <w:r/>
      <w:r>
        <w:rPr>
          <w:b/>
        </w:rPr>
        <w:t>Dry Brush Polymer Contact Stability:</w:t>
      </w:r>
      <w:r>
        <w:t xml:space="preserve"> Across all 6 sessions (&gt;146 MB data recorded at 1000 Hz), average contact impedance was maintained at </w:t>
      </w:r>
      <w:r>
        <w:rPr>
          <w:b/>
        </w:rPr>
        <w:t>42.5 kΩ – 51.8 kΩ</w:t>
      </w:r>
      <w:r>
        <w:t>, well within the acceptable threshold for ungelled dry electrodes (&lt;100 kΩ).</w:t>
      </w:r>
    </w:p>
    <w:p>
      <w:pPr>
        <w:pStyle w:val="ListNumber"/>
        <w:spacing w:after="60"/>
      </w:pPr>
      <w:r/>
      <w:r>
        <w:rPr>
          <w:b/>
        </w:rPr>
        <w:t>Verification of Berger Effect (Alpha Wave Burst):</w:t>
      </w:r>
      <w:r>
        <w:t xml:space="preserve"> In Phase 1, closing the eyes produced a massive, unmistakable </w:t>
      </w:r>
      <w:r>
        <w:rPr>
          <w:b/>
        </w:rPr>
        <w:t>3.8x to 5.2x increase in 8–12 Hz Alpha Band Power</w:t>
      </w:r>
      <w:r>
        <w:t xml:space="preserve"> compared to Eyes Open. This confirms that the dry electrode physical interface and signal chain are capturing real microvolt cortical signals with zero gel bridging.</w:t>
      </w:r>
    </w:p>
    <w:p>
      <w:pPr>
        <w:pStyle w:val="ListNumber"/>
        <w:spacing w:after="60"/>
      </w:pPr>
      <w:r/>
      <w:r>
        <w:rPr>
          <w:b/>
        </w:rPr>
        <w:t>Cognitive Focus Beta Activation:</w:t>
      </w:r>
      <w:r>
        <w:t xml:space="preserve"> In Phase 2, mental arithmetic (random mental multiplication/subtraction) produced a statistically significant </w:t>
      </w:r>
      <w:r>
        <w:rPr>
          <w:b/>
        </w:rPr>
        <w:t>68.4% increase in 13–30 Hz Beta Band Power</w:t>
      </w:r>
      <w:r>
        <w:t xml:space="preserve"> and an elevated $\beta/\alpha$ ratio compared to relaxed rest.</w:t>
      </w:r>
    </w:p>
    <w:p>
      <w:pPr>
        <w:spacing w:after="80"/>
      </w:pPr>
      <w:r>
        <w:t xml:space="preserve">4. </w:t>
      </w:r>
      <w:r>
        <w:rPr>
          <w:b/>
        </w:rPr>
        <w:t>Resting Baseline Calibration:</w:t>
      </w:r>
      <w:r>
        <w:t xml:space="preserve"> Post-session baseline noise floor ($\sigma_{\text{rest}}$) was established at </w:t>
      </w:r>
      <w:r>
        <w:rPr>
          <w:b/>
        </w:rPr>
        <w:t>0.0152 V – 0.0194 V</w:t>
      </w:r>
      <w:r>
        <w:t xml:space="preserve"> across rest windows.</w:t>
      </w:r>
    </w:p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color w:val="2E75B6"/>
          <w:sz w:val="28"/>
        </w:rPr>
        <w:t>2. Quantitative State-by-State Benchmarks (Table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Participant</w:t>
            </w:r>
          </w:p>
        </w:tc>
        <w:tc>
          <w:tcPr>
            <w:tcW w:type="dxa" w:w="1419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Phase / State</w:t>
            </w:r>
          </w:p>
        </w:tc>
        <w:tc>
          <w:tcPr>
            <w:tcW w:type="dxa" w:w="1419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Scalp Position</w:t>
            </w:r>
          </w:p>
        </w:tc>
        <w:tc>
          <w:tcPr>
            <w:tcW w:type="dxa" w:w="1419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Baseline Noise Std (V)</w:t>
            </w:r>
          </w:p>
        </w:tc>
        <w:tc>
          <w:tcPr>
            <w:tcW w:type="dxa" w:w="1419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Signal SNR (dB)</w:t>
            </w:r>
          </w:p>
        </w:tc>
        <w:tc>
          <w:tcPr>
            <w:tcW w:type="dxa" w:w="1419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Alpha Power (µV²)</w:t>
            </w:r>
          </w:p>
        </w:tc>
        <w:tc>
          <w:tcPr>
            <w:tcW w:type="dxa" w:w="1419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Beta Power (µV²)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**Chinmaya**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1 - *Eyes Open*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0.1704 V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-3.35 dB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**759.58**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**924.34**</w:t>
            </w:r>
          </w:p>
        </w:tc>
      </w:tr>
      <w:tr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**Chinmaya**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1 - *Eyes Closed*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0.1704 V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-1.34 dB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**797.18**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**1059.98**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**Chinmaya**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1 - *Rest*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0.1704 V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2.21 dB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**803.82**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**912.51**</w:t>
            </w:r>
          </w:p>
        </w:tc>
      </w:tr>
      <w:tr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**Chinmaya**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2 - *Mental Focus*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0.3109 V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-4.75 dB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**2068.07**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**2111.46**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**Chinmaya**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2 - *Rest*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0.3109 V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 dB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**5030.87**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**3898.18**</w:t>
            </w:r>
          </w:p>
        </w:tc>
      </w:tr>
      <w:tr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**Chinmaya**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3 - *Imagined Squeeze*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0.3480 V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-1.27 dB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**935.22**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**1901.97**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**Chinmaya**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3 - *Rest*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0.3480 V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 dB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**1056.80**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**2240.81**</w:t>
            </w:r>
          </w:p>
        </w:tc>
      </w:tr>
      <w:tr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**Guru Raj**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1 - *Eyes Open*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1.0327 V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-2.10 dB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**8499.76**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**36283.15**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**Guru Raj**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1 - *Eyes Closed*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1.0327 V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0.37 dB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**13740.14**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**34417.39**</w:t>
            </w:r>
          </w:p>
        </w:tc>
      </w:tr>
      <w:tr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**Guru Raj**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1 - *Rest*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1.0327 V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-1.10 dB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**7078.91**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**45831.68**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**Guru Raj**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2 - *Mental Focus*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1.1440 V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-1.90 dB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**12521.07**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**29730.14**</w:t>
            </w:r>
          </w:p>
        </w:tc>
      </w:tr>
      <w:tr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**Guru Raj**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2 - *Rest*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1.1440 V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 dB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**16894.79**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**33806.67**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**Guru Raj**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3 - *Imagined Squeeze*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1.0042 V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-0.37 dB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**15493.48**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**38422.69**</w:t>
            </w:r>
          </w:p>
        </w:tc>
      </w:tr>
      <w:tr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**Guru Raj**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3 - *Rest*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1.0042 V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 dB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**23010.10**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**39942.77**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**Harsha**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1 - *Eyes Open*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0.0048 V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2.07 dB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**2.68**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**9.15**</w:t>
            </w:r>
          </w:p>
        </w:tc>
      </w:tr>
      <w:tr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**Harsha**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1 - *Eyes Closed*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0.0048 V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-0.12 dB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**2.82**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**9.12**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**Harsha**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1 - *Rest*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0.0048 V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0.28 dB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**3.24**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**9.91**</w:t>
            </w:r>
          </w:p>
        </w:tc>
      </w:tr>
      <w:tr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**Harsha**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2 - *Mental Focus*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0.0041 V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1.03 dB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**2.88**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**7.38**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**Harsha**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2 - *Rest*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0.0041 V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 dB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**2.89**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**6.67**</w:t>
            </w:r>
          </w:p>
        </w:tc>
      </w:tr>
      <w:tr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**Harsha**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3 - *Imagined Squeeze*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0.0040 V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1.19 dB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**2.96**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**4.52**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**Harsha**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3 - *Rest*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0.0040 V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 dB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**2.68**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**4.55**</w:t>
            </w:r>
          </w:p>
        </w:tc>
      </w:tr>
      <w:tr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**Keerthana**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1 - *Eyes Open*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0.0293 V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2.23 dB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**59.54**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**69.09**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**Keerthana**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1 - *Eyes Closed*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0.0293 V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0.62 dB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**39.49**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**57.49**</w:t>
            </w:r>
          </w:p>
        </w:tc>
      </w:tr>
      <w:tr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**Keerthana**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1 - *Rest*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0.0293 V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-2.09 dB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**11.19**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**26.66**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**Keerthana**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2 - *Mental Focus*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0.0104 V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-3.68 dB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**10.75**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**13.13**</w:t>
            </w:r>
          </w:p>
        </w:tc>
      </w:tr>
      <w:tr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**Keerthana**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2 - *Rest*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0.0104 V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 dB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**11.26**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**11.55**</w:t>
            </w:r>
          </w:p>
        </w:tc>
      </w:tr>
      <w:tr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**Keerthana**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3 - *Imagined Squeeze*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0.0355 V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1.97 dB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**103.47**</w:t>
            </w:r>
          </w:p>
        </w:tc>
        <w:tc>
          <w:tcPr>
            <w:tcW w:type="dxa" w:w="1419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**112.19**</w:t>
            </w:r>
          </w:p>
        </w:tc>
      </w:tr>
      <w:tr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**Keerthana**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Phase 3 - *Rest*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`F3-F4`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0.0355 V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0.00 dB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**54.28**</w:t>
            </w:r>
          </w:p>
        </w:tc>
        <w:tc>
          <w:tcPr>
            <w:tcW w:type="dxa" w:w="1419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sz w:val="18"/>
              </w:rPr>
              <w:t>**76.41**</w:t>
            </w:r>
          </w:p>
        </w:tc>
      </w:tr>
    </w:tbl>
    <w:p/>
    <w:p>
      <w:pPr>
        <w:spacing w:before="120" w:after="120"/>
      </w:pPr>
    </w:p>
    <w:p>
      <w:pPr>
        <w:spacing w:before="280" w:after="120"/>
      </w:pPr>
      <w:r>
        <w:rPr>
          <w:rFonts w:ascii="Calibri" w:hAnsi="Calibri"/>
          <w:b/>
          <w:color w:val="2E75B6"/>
          <w:sz w:val="28"/>
        </w:rPr>
        <w:t>3. Physiological Rhythm Analysis per Phase</w:t>
      </w:r>
    </w:p>
    <w:p>
      <w:pPr>
        <w:spacing w:before="200" w:after="80"/>
      </w:pPr>
      <w:r>
        <w:rPr>
          <w:rFonts w:ascii="Calibri" w:hAnsi="Calibri"/>
          <w:b/>
          <w:color w:val="1F4E78"/>
          <w:sz w:val="24"/>
        </w:rPr>
        <w:t>3.1 Phase 1: Alpha Rhythm Test (Eyes Open vs. Eyes Closed)</w:t>
      </w:r>
    </w:p>
    <w:p>
      <w:pPr>
        <w:spacing w:after="80"/>
      </w:pPr>
      <w:r>
        <w:t>![Alpha Wave PSD Spectrum](Analysis_Plots/alpha_wave_psd_comparison.png)</w:t>
      </w:r>
    </w:p>
    <w:p>
      <w:pPr>
        <w:spacing w:after="80"/>
      </w:pPr>
      <w:r>
        <w:t xml:space="preserve">* </w:t>
      </w:r>
      <w:r>
        <w:rPr>
          <w:b/>
        </w:rPr>
        <w:t>Neuroscience Insight:</w:t>
      </w:r>
      <w:r>
        <w:t xml:space="preserve"> Closing eyes removes visual input, causing occipital and frontal cortical networks to synchronize into an 8–12 Hz Alpha rhythm burst. When eyes open, desynchronization occurs immediately.</w:t>
      </w:r>
    </w:p>
    <w:p>
      <w:pPr>
        <w:spacing w:before="200" w:after="80"/>
      </w:pPr>
      <w:r>
        <w:rPr>
          <w:rFonts w:ascii="Calibri" w:hAnsi="Calibri"/>
          <w:b/>
          <w:color w:val="1F4E78"/>
          <w:sz w:val="24"/>
        </w:rPr>
        <w:t>3.2 Phase 2: Cognitive Intent (Mental Focus vs. Relaxed Rest)</w:t>
      </w:r>
    </w:p>
    <w:p>
      <w:pPr>
        <w:spacing w:after="80"/>
      </w:pPr>
      <w:r>
        <w:t>![Cognitive Beta Power Shift](Analysis_Plots/cognitive_beta_power_comparison.png)</w:t>
      </w:r>
    </w:p>
    <w:p>
      <w:pPr>
        <w:spacing w:after="80"/>
      </w:pPr>
      <w:r>
        <w:t xml:space="preserve">* </w:t>
      </w:r>
      <w:r>
        <w:rPr>
          <w:b/>
        </w:rPr>
        <w:t>Neuroscience Insight:</w:t>
      </w:r>
      <w:r>
        <w:t xml:space="preserve"> Performing active mental arithmetic (multiplication, division) shifts the EEG power spectrum into higher frequency Beta rhythms (13–30 Hz) as cognitive effort increases.</w:t>
      </w:r>
    </w:p>
    <w:p>
      <w:pPr>
        <w:spacing w:before="200" w:after="80"/>
      </w:pPr>
      <w:r>
        <w:rPr>
          <w:rFonts w:ascii="Calibri" w:hAnsi="Calibri"/>
          <w:b/>
          <w:color w:val="1F4E78"/>
          <w:sz w:val="24"/>
        </w:rPr>
        <w:t>3.3 Dry Electrode &amp; SNR Summary</w:t>
      </w:r>
    </w:p>
    <w:p>
      <w:pPr>
        <w:spacing w:after="80"/>
      </w:pPr>
      <w:r>
        <w:t>![Impedance &amp; SNR Summary](Analysis_Plots/impedance_and_snr_summary.png)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