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left"/>
      </w:pPr>
      <w:r>
        <w:rPr>
          <w:rFonts w:ascii="Calibri" w:hAnsi="Calibri"/>
          <w:b/>
          <w:color w:val="1F4E78"/>
          <w:sz w:val="40"/>
        </w:rPr>
        <w:t>Master Model Benchmarking Analysis Report</w:t>
      </w:r>
    </w:p>
    <w:p>
      <w:pPr>
        <w:spacing w:after="80"/>
      </w:pPr>
      <w:r/>
      <w:r>
        <w:rPr>
          <w:b/>
        </w:rPr>
        <w:t>Project:</w:t>
      </w:r>
      <w:r>
        <w:t xml:space="preserve"> Single-Channel Surface EMG Gesture Recognition Using Generalized Triple Ensemble &amp; Deep Autoencoders</w:t>
      </w:r>
    </w:p>
    <w:p>
      <w:pPr>
        <w:spacing w:after="80"/>
      </w:pPr>
      <w:r/>
      <w:r>
        <w:rPr>
          <w:b/>
        </w:rPr>
        <w:t>Dataset Pool:</w:t>
      </w:r>
      <w:r>
        <w:t xml:space="preserve"> 15 Participants (`All_Datasets/*.csv`) | </w:t>
      </w:r>
      <w:r>
        <w:rPr>
          <w:b/>
        </w:rPr>
        <w:t>Features:</w:t>
      </w:r>
      <w:r>
        <w:t xml:space="preserve"> 16 Extracted Features + Per-Participant Standardization ($z^{(p)}$)</w:t>
      </w: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Table 1: Master Model Benchmarking Summary (Global Architecture Comparison)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Accuracy (%)</w:t>
            </w:r>
          </w:p>
        </w:tc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Training Time (s)</w:t>
            </w:r>
          </w:p>
        </w:tc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Inference Latency (ms)</w:t>
            </w:r>
          </w:p>
        </w:tc>
        <w:tc>
          <w:tcPr>
            <w:tcW w:type="dxa" w:w="165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Generalization Stability (σ)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**SVM**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Standardized (16 Features)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41.94%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46.27s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0.62ms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0.0795</w:t>
            </w:r>
          </w:p>
        </w:tc>
      </w:tr>
      <w:tr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**KNN**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Standardized (16 Features)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41.83%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0.08ms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0.0665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**Random Forest**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Standardized (16 Features)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59.72%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40.84s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0.15ms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0.1166</w:t>
            </w:r>
          </w:p>
        </w:tc>
      </w:tr>
      <w:tr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**Proposed Triple Ensemble**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Standardized (16 Features)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58.89%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105.17s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0.43ms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0.1477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**1D-CNN + LSTM**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Best Config (sgd, lr=0.01)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44.72%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164.36s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6.4280</w:t>
            </w:r>
          </w:p>
        </w:tc>
      </w:tr>
      <w:tr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**1D-CNN + Autoencoder**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Best Config (rmsprop, latent_dim=32)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27.39%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42.73s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  <w:tc>
          <w:tcPr>
            <w:tcW w:type="dxa" w:w="1656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4.8609</w:t>
            </w:r>
          </w:p>
        </w:tc>
      </w:tr>
    </w:tbl>
    <w:p/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Table 2: Deep Learning Sensitivity Grid &amp; Convergence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Optimizer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Learning Rate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Batch Size / Latent Dim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Convergence Epoch (E_best/Max)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 Accuracy (%)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Training Time (s)</w:t>
            </w:r>
          </w:p>
        </w:tc>
        <w:tc>
          <w:tcPr>
            <w:tcW w:type="dxa" w:w="124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Latency (ms)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17/100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19.94%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48.26s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41/100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32.28%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57.91s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0.40ms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32/100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40.00%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27.84s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29/100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42.39%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77.36s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39/100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44.28%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53.65s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43/100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43.33%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34.24s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39.44%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256.97s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39.39%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132.43s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35.28%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73.13s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37/100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39.33%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85.93s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31/100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37.28%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37.39s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38.17%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21.41s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0.24ms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41.94%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91.67s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0.24ms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44/100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40.56%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52.47s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69/100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43.83%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45.13s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38.33%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224.91s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0.27ms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86/100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34.00%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109.00s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32.50%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68.20s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75/100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44.72%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164.36s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91/100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43.33%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103.11s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38.06%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62.30s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31.06%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212.57s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27.61%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115.08s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24.56%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63.68s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0.26ms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24.17%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218.33s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23.06%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110.33s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LSTM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Batch=128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21.78%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61.82s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0.36ms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18/100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20.00%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48.57s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24/100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20.00%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66.22s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0.43ms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44/100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20.00%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112.34s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0.75ms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14/100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24.22%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41.99s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0.38ms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23.72%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37.01s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14/100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24.50%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39.47s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21.44%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52.61s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17/100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24.78%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49.27s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0.40ms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adam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17/100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22.28%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46.94s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15/100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23.56%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40.58s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0.75ms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16/100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27.39%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42.73s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23.89%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35.11s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0.51ms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16/100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25.33%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44.76s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25.28%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35.36s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0.75ms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22.11%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30.66s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0.38ms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22.61%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51.60s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0.38ms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22.83%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35.87s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0.42ms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rmsprop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22.11%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36.09s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0.40ms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22.44%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34.90s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0.53ms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22.22%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32.78s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12/100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22.56%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32.57s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0.38ms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18/100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23.44%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47.08s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15/100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22.94%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40.55s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0.38ms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22.67%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35.76s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0.39ms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LatentDim=16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91/100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22.78%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218.28s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0.40ms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LatentDim=32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61/100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21.28%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147.56s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  <w:tr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1D-CNN + Autoencoder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sgd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0.0001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LatentDim=64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45/100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22.39%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110.35s</w:t>
            </w:r>
          </w:p>
        </w:tc>
        <w:tc>
          <w:tcPr>
            <w:tcW w:type="dxa" w:w="1242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0.41ms</w:t>
            </w:r>
          </w:p>
        </w:tc>
      </w:tr>
    </w:tbl>
    <w:p/>
    <w:p>
      <w:pPr>
        <w:spacing w:before="120" w:after="120"/>
      </w:pPr>
    </w:p>
    <w:p>
      <w:pPr>
        <w:spacing w:before="200" w:after="80"/>
      </w:pPr>
      <w:r>
        <w:rPr>
          <w:rFonts w:ascii="Calibri" w:hAnsi="Calibri"/>
          <w:b/>
          <w:color w:val="1F4E78"/>
          <w:sz w:val="24"/>
        </w:rPr>
        <w:t>Key Research Insights:</w:t>
      </w:r>
    </w:p>
    <w:p>
      <w:pPr>
        <w:pStyle w:val="ListNumber"/>
        <w:spacing w:after="60"/>
      </w:pPr>
      <w:r/>
      <w:r>
        <w:rPr>
          <w:b/>
        </w:rPr>
        <w:t>Tree Ensembles vs. Deep Learning:</w:t>
      </w:r>
      <w:r>
        <w:t xml:space="preserve"> The Proposed Triple Voting Ensemble and Random Forest outperform basic Deep Learning models on single-channel sEMG due to high non-linear partition capability on Hjorth complexity and Spectral Entropy features.</w:t>
      </w:r>
    </w:p>
    <w:p>
      <w:pPr>
        <w:pStyle w:val="ListNumber"/>
        <w:spacing w:after="60"/>
      </w:pPr>
      <w:r/>
      <w:r>
        <w:rPr>
          <w:b/>
        </w:rPr>
        <w:t>Representation Learning:</w:t>
      </w:r>
      <w:r>
        <w:t xml:space="preserve"> The 1D-CNN Autoencoder compresses 1500-sample raw windows into latent bottleneck embeddings, effectively filtering high-frequency noise and mains hum.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