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Calibri" w:cs="Calibri" w:eastAsia="Calibri" w:hAnsi="Calibri"/>
          <w:color w:val="666666"/>
          <w:sz w:val="26"/>
          <w:szCs w:val="26"/>
        </w:rPr>
        <w:t xml:space="preserve">Week 3 Task</w:t>
      </w:r>
    </w:p>
    <w:p>
      <w:pPr>
        <w:spacing w:after="200"/>
        <w:jc w:val="center"/>
      </w:pPr>
      <w:r>
        <w:rPr>
          <w:rFonts w:ascii="Calibri" w:cs="Calibri" w:eastAsia="Calibri" w:hAnsi="Calibri"/>
          <w:b/>
          <w:bCs/>
          <w:color w:val="2E6B34"/>
          <w:sz w:val="44"/>
          <w:szCs w:val="44"/>
        </w:rPr>
        <w:t xml:space="preserve">Exploratory Data Analysis (EDA) Report Design</w:t>
      </w:r>
    </w:p>
    <w:p>
      <w:pPr>
        <w:pBdr>
          <w:bottom w:val="single" w:color="2E6B34" w:sz="12" w:space="6"/>
        </w:pBdr>
        <w:spacing w:after="300"/>
        <w:jc w:val="center"/>
      </w:pPr>
      <w:r>
        <w:rPr>
          <w:rFonts w:ascii="Calibri" w:cs="Calibri" w:eastAsia="Calibri" w:hAnsi="Calibri"/>
          <w:i/>
          <w:iCs/>
          <w:sz w:val="24"/>
          <w:szCs w:val="24"/>
        </w:rPr>
        <w:t xml:space="preserve">A Complete Outline for an EDA Report Focused on Agribusiness Trends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9DB89F" w:sz="4"/>
              <w:left w:val="single" w:color="9DB89F" w:sz="4"/>
              <w:bottom w:val="single" w:color="9DB89F" w:sz="4"/>
              <w:right w:val="single" w:color="9DB89F" w:sz="4"/>
            </w:tcBorders>
            <w:shd w:fill="2E6B34" w:color="auto" w:val="clear"/>
            <w:tcMar>
              <w:top w:type="dxa" w:w="70"/>
              <w:left w:type="dxa" w:w="100"/>
              <w:bottom w:type="dxa" w:w="70"/>
              <w:right w:type="dxa" w:w="100"/>
            </w:tcMar>
          </w:tcPr>
          <w:p>
            <w:r>
              <w:rPr>
                <w:rFonts w:ascii="Calibri" w:cs="Calibri" w:eastAsia="Calibri" w:hAnsi="Calibri"/>
                <w:b/>
                <w:bCs/>
                <w:color w:val="FFFFFF"/>
                <w:sz w:val="20"/>
                <w:szCs w:val="20"/>
              </w:rPr>
              <w:t xml:space="preserve">Detail</w:t>
            </w:r>
          </w:p>
        </w:tc>
        <w:tc>
          <w:tcPr>
            <w:tcW w:type="dxa" w:w="6426"/>
            <w:tcBorders>
              <w:top w:val="single" w:color="9DB89F" w:sz="4"/>
              <w:left w:val="single" w:color="9DB89F" w:sz="4"/>
              <w:bottom w:val="single" w:color="9DB89F" w:sz="4"/>
              <w:right w:val="single" w:color="9DB89F" w:sz="4"/>
            </w:tcBorders>
            <w:shd w:fill="2E6B34" w:color="auto" w:val="clear"/>
            <w:tcMar>
              <w:top w:type="dxa" w:w="70"/>
              <w:left w:type="dxa" w:w="100"/>
              <w:bottom w:type="dxa" w:w="70"/>
              <w:right w:type="dxa" w:w="100"/>
            </w:tcMar>
          </w:tcPr>
          <w:p>
            <w:r>
              <w:rPr>
                <w:rFonts w:ascii="Calibri" w:cs="Calibri" w:eastAsia="Calibri" w:hAnsi="Calibri"/>
                <w:b/>
                <w:bCs/>
                <w:color w:val="FFFFFF"/>
                <w:sz w:val="20"/>
                <w:szCs w:val="20"/>
              </w:rPr>
              <w:t xml:space="preserve">Information</w:t>
            </w:r>
          </w:p>
        </w:tc>
      </w:tr>
      <w:tr>
        <w:tc>
          <w:tcPr>
            <w:tcW w:type="dxa" w:w="26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Submitted by</w:t>
            </w:r>
          </w:p>
        </w:tc>
        <w:tc>
          <w:tcPr>
            <w:tcW w:type="dxa" w:w="6426"/>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Palarapu Harshavardhan Reddy</w:t>
            </w:r>
          </w:p>
        </w:tc>
      </w:tr>
      <w:tr>
        <w:tc>
          <w:tcPr>
            <w:tcW w:type="dxa" w:w="26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Role</w:t>
            </w:r>
          </w:p>
        </w:tc>
        <w:tc>
          <w:tcPr>
            <w:tcW w:type="dxa" w:w="6426"/>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Intern (Internee)</w:t>
            </w:r>
          </w:p>
        </w:tc>
      </w:tr>
      <w:tr>
        <w:tc>
          <w:tcPr>
            <w:tcW w:type="dxa" w:w="26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Department</w:t>
            </w:r>
          </w:p>
        </w:tc>
        <w:tc>
          <w:tcPr>
            <w:tcW w:type="dxa" w:w="6426"/>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Information Technology</w:t>
            </w:r>
          </w:p>
        </w:tc>
      </w:tr>
      <w:tr>
        <w:tc>
          <w:tcPr>
            <w:tcW w:type="dxa" w:w="26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Task</w:t>
            </w:r>
          </w:p>
        </w:tc>
        <w:tc>
          <w:tcPr>
            <w:tcW w:type="dxa" w:w="6426"/>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Week 3 – Exploratory Data Analysis (EDA) Report Design</w:t>
            </w:r>
          </w:p>
        </w:tc>
      </w:tr>
      <w:tr>
        <w:tc>
          <w:tcPr>
            <w:tcW w:type="dxa" w:w="26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Deliverable</w:t>
            </w:r>
          </w:p>
        </w:tc>
        <w:tc>
          <w:tcPr>
            <w:tcW w:type="dxa" w:w="6426"/>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Document detailing the structure of an EDA report</w:t>
            </w:r>
          </w:p>
        </w:tc>
      </w:tr>
    </w:tbl>
    <w:p>
      <w:pPr>
        <w:spacing w:after="120"/>
      </w:pPr>
    </w:p>
    <w:p>
      <w:pPr>
        <w:pStyle w:val="Heading1"/>
        <w:spacing w:after="120" w:before="300"/>
      </w:pPr>
      <w:r>
        <w:rPr>
          <w:rFonts w:ascii="Calibri" w:cs="Calibri" w:eastAsia="Calibri" w:hAnsi="Calibri"/>
          <w:b/>
          <w:bCs/>
          <w:color w:val="2E6B34"/>
          <w:sz w:val="30"/>
          <w:szCs w:val="30"/>
        </w:rPr>
        <w:t xml:space="preserve">1. Objective</w:t>
      </w:r>
    </w:p>
    <w:p>
      <w:pPr>
        <w:spacing w:after="120" w:line="276"/>
      </w:pPr>
      <w:r>
        <w:rPr>
          <w:rFonts w:ascii="Calibri" w:cs="Calibri" w:eastAsia="Calibri" w:hAnsi="Calibri"/>
          <w:sz w:val="22"/>
          <w:szCs w:val="22"/>
        </w:rPr>
        <w:t xml:space="preserve">The aim of this assignment is to design a complete outline for an Exploratory Data Analysis (EDA) report focusing on agribusiness trends. The document explains how raw agricultural data will be transformed into actionable insights by identifying the key patterns and trends that influence decision-making, and it sets out the analyses, visualisations, report sections and expected outcomes of the EDA process.</w:t>
      </w:r>
    </w:p>
    <w:p>
      <w:pPr>
        <w:pStyle w:val="Heading2"/>
        <w:spacing w:after="100" w:before="200"/>
      </w:pPr>
      <w:r>
        <w:rPr>
          <w:rFonts w:ascii="Calibri" w:cs="Calibri" w:eastAsia="Calibri" w:hAnsi="Calibri"/>
          <w:b/>
          <w:bCs/>
          <w:color w:val="1F4E24"/>
          <w:sz w:val="25"/>
          <w:szCs w:val="25"/>
        </w:rPr>
        <w:t xml:space="preserve">1.1 Purpose of EDA in Agribusiness</w:t>
      </w:r>
    </w:p>
    <w:p>
      <w:pPr>
        <w:pStyle w:val="ListParagraph"/>
        <w:numPr>
          <w:ilvl w:val="0"/>
          <w:numId w:val="2"/>
        </w:numPr>
        <w:spacing w:after="60"/>
      </w:pPr>
      <w:r>
        <w:rPr>
          <w:rFonts w:ascii="Calibri" w:cs="Calibri" w:eastAsia="Calibri" w:hAnsi="Calibri"/>
          <w:sz w:val="22"/>
          <w:szCs w:val="22"/>
        </w:rPr>
        <w:t xml:space="preserve">Understand the structure, quality and distribution of production, price and resource data.</w:t>
      </w:r>
    </w:p>
    <w:p>
      <w:pPr>
        <w:pStyle w:val="ListParagraph"/>
        <w:numPr>
          <w:ilvl w:val="0"/>
          <w:numId w:val="2"/>
        </w:numPr>
        <w:spacing w:after="60"/>
      </w:pPr>
      <w:r>
        <w:rPr>
          <w:rFonts w:ascii="Calibri" w:cs="Calibri" w:eastAsia="Calibri" w:hAnsi="Calibri"/>
          <w:sz w:val="22"/>
          <w:szCs w:val="22"/>
        </w:rPr>
        <w:t xml:space="preserve">Reveal trends, seasonality, regional differences and relationships between variables.</w:t>
      </w:r>
    </w:p>
    <w:p>
      <w:pPr>
        <w:pStyle w:val="ListParagraph"/>
        <w:numPr>
          <w:ilvl w:val="0"/>
          <w:numId w:val="2"/>
        </w:numPr>
        <w:spacing w:after="60"/>
      </w:pPr>
      <w:r>
        <w:rPr>
          <w:rFonts w:ascii="Calibri" w:cs="Calibri" w:eastAsia="Calibri" w:hAnsi="Calibri"/>
          <w:sz w:val="22"/>
          <w:szCs w:val="22"/>
        </w:rPr>
        <w:t xml:space="preserve">Detect anomalies such as price spikes or abnormal yields before any modelling begins.</w:t>
      </w:r>
    </w:p>
    <w:p>
      <w:pPr>
        <w:pStyle w:val="ListParagraph"/>
        <w:numPr>
          <w:ilvl w:val="0"/>
          <w:numId w:val="2"/>
        </w:numPr>
        <w:spacing w:after="60"/>
      </w:pPr>
      <w:r>
        <w:rPr>
          <w:rFonts w:ascii="Calibri" w:cs="Calibri" w:eastAsia="Calibri" w:hAnsi="Calibri"/>
          <w:sz w:val="22"/>
          <w:szCs w:val="22"/>
        </w:rPr>
        <w:t xml:space="preserve">Generate hypotheses and guide the choice of forecasting and modelling methods.</w:t>
      </w:r>
    </w:p>
    <w:p>
      <w:pPr>
        <w:pStyle w:val="ListParagraph"/>
        <w:numPr>
          <w:ilvl w:val="0"/>
          <w:numId w:val="2"/>
        </w:numPr>
        <w:spacing w:after="60"/>
      </w:pPr>
      <w:r>
        <w:rPr>
          <w:rFonts w:ascii="Calibri" w:cs="Calibri" w:eastAsia="Calibri" w:hAnsi="Calibri"/>
          <w:sz w:val="22"/>
          <w:szCs w:val="22"/>
        </w:rPr>
        <w:t xml:space="preserve">Provide evidence for decisions by farmers, traders, processors and policymakers.</w:t>
      </w:r>
    </w:p>
    <w:p>
      <w:pPr>
        <w:pStyle w:val="Heading2"/>
        <w:spacing w:after="100" w:before="200"/>
      </w:pPr>
      <w:r>
        <w:rPr>
          <w:rFonts w:ascii="Calibri" w:cs="Calibri" w:eastAsia="Calibri" w:hAnsi="Calibri"/>
          <w:b/>
          <w:bCs/>
          <w:color w:val="1F4E24"/>
          <w:sz w:val="25"/>
          <w:szCs w:val="25"/>
        </w:rPr>
        <w:t xml:space="preserve">1.2 Business Questions the EDA Will Answer</w:t>
      </w:r>
    </w:p>
    <w:p>
      <w:pPr>
        <w:pStyle w:val="ListParagraph"/>
        <w:numPr>
          <w:ilvl w:val="0"/>
          <w:numId w:val="3"/>
        </w:numPr>
        <w:spacing w:after="60"/>
      </w:pPr>
      <w:r>
        <w:rPr>
          <w:rFonts w:ascii="Calibri" w:cs="Calibri" w:eastAsia="Calibri" w:hAnsi="Calibri"/>
          <w:sz w:val="22"/>
          <w:szCs w:val="22"/>
        </w:rPr>
        <w:t xml:space="preserve">Which regions and crops lead production, and how have yields changed over time?</w:t>
      </w:r>
    </w:p>
    <w:p>
      <w:pPr>
        <w:pStyle w:val="ListParagraph"/>
        <w:numPr>
          <w:ilvl w:val="0"/>
          <w:numId w:val="3"/>
        </w:numPr>
        <w:spacing w:after="60"/>
      </w:pPr>
      <w:r>
        <w:rPr>
          <w:rFonts w:ascii="Calibri" w:cs="Calibri" w:eastAsia="Calibri" w:hAnsi="Calibri"/>
          <w:sz w:val="22"/>
          <w:szCs w:val="22"/>
        </w:rPr>
        <w:t xml:space="preserve">How do market prices move across months and seasons, and when do they peak or fall?</w:t>
      </w:r>
    </w:p>
    <w:p>
      <w:pPr>
        <w:pStyle w:val="ListParagraph"/>
        <w:numPr>
          <w:ilvl w:val="0"/>
          <w:numId w:val="3"/>
        </w:numPr>
        <w:spacing w:after="60"/>
      </w:pPr>
      <w:r>
        <w:rPr>
          <w:rFonts w:ascii="Calibri" w:cs="Calibri" w:eastAsia="Calibri" w:hAnsi="Calibri"/>
          <w:sz w:val="22"/>
          <w:szCs w:val="22"/>
        </w:rPr>
        <w:t xml:space="preserve">Which factors (rainfall, temperature, fertiliser, area) are most associated with yield and price?</w:t>
      </w:r>
    </w:p>
    <w:p>
      <w:pPr>
        <w:pStyle w:val="ListParagraph"/>
        <w:numPr>
          <w:ilvl w:val="0"/>
          <w:numId w:val="3"/>
        </w:numPr>
        <w:spacing w:after="60"/>
      </w:pPr>
      <w:r>
        <w:rPr>
          <w:rFonts w:ascii="Calibri" w:cs="Calibri" w:eastAsia="Calibri" w:hAnsi="Calibri"/>
          <w:sz w:val="22"/>
          <w:szCs w:val="22"/>
        </w:rPr>
        <w:t xml:space="preserve">Where are the unusual observations, and do they reflect errors or real market events?</w:t>
      </w:r>
    </w:p>
    <w:p>
      <w:pPr>
        <w:pStyle w:val="ListParagraph"/>
        <w:numPr>
          <w:ilvl w:val="0"/>
          <w:numId w:val="3"/>
        </w:numPr>
        <w:spacing w:after="60"/>
      </w:pPr>
      <w:r>
        <w:rPr>
          <w:rFonts w:ascii="Calibri" w:cs="Calibri" w:eastAsia="Calibri" w:hAnsi="Calibri"/>
          <w:sz w:val="22"/>
          <w:szCs w:val="22"/>
        </w:rPr>
        <w:t xml:space="preserve">What practical actions follow for planting, storage, procurement and policy?</w:t>
      </w:r>
    </w:p>
    <w:p>
      <w:pPr>
        <w:pStyle w:val="Heading1"/>
        <w:spacing w:after="120" w:before="300"/>
      </w:pPr>
      <w:r>
        <w:rPr>
          <w:rFonts w:ascii="Calibri" w:cs="Calibri" w:eastAsia="Calibri" w:hAnsi="Calibri"/>
          <w:b/>
          <w:bCs/>
          <w:color w:val="2E6B34"/>
          <w:sz w:val="30"/>
          <w:szCs w:val="30"/>
        </w:rPr>
        <w:t xml:space="preserve">2. Variables and Metrics Relevant to Agribusiness</w:t>
      </w:r>
    </w:p>
    <w:p>
      <w:pPr>
        <w:spacing w:after="120" w:line="276"/>
      </w:pPr>
      <w:r>
        <w:rPr>
          <w:rFonts w:ascii="Calibri" w:cs="Calibri" w:eastAsia="Calibri" w:hAnsi="Calibri"/>
          <w:sz w:val="22"/>
          <w:szCs w:val="22"/>
        </w:rPr>
        <w:t xml:space="preserve">The EDA is based on a hypothetical integrated dataset built from public sources such as FAOSTAT, USDA, government agriculture statistics, mandi price portals and weather agencies. The variables are grouped by theme.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3026"/>
      </w:tblGrid>
      <w:tr>
        <w:trPr>
          <w:tblHeader/>
        </w:trPr>
        <w:tc>
          <w:tcPr>
            <w:tcW w:type="dxa" w:w="2100"/>
            <w:tcBorders>
              <w:top w:val="single" w:color="9DB89F" w:sz="4"/>
              <w:left w:val="single" w:color="9DB89F" w:sz="4"/>
              <w:bottom w:val="single" w:color="9DB89F" w:sz="4"/>
              <w:right w:val="single" w:color="9DB89F" w:sz="4"/>
            </w:tcBorders>
            <w:shd w:fill="2E6B34" w:color="auto" w:val="clear"/>
            <w:tcMar>
              <w:top w:type="dxa" w:w="70"/>
              <w:left w:type="dxa" w:w="100"/>
              <w:bottom w:type="dxa" w:w="70"/>
              <w:right w:type="dxa" w:w="100"/>
            </w:tcMar>
          </w:tcPr>
          <w:p>
            <w:r>
              <w:rPr>
                <w:rFonts w:ascii="Calibri" w:cs="Calibri" w:eastAsia="Calibri" w:hAnsi="Calibri"/>
                <w:b/>
                <w:bCs/>
                <w:color w:val="FFFFFF"/>
                <w:sz w:val="20"/>
                <w:szCs w:val="20"/>
              </w:rPr>
              <w:t xml:space="preserve">Theme</w:t>
            </w:r>
          </w:p>
        </w:tc>
        <w:tc>
          <w:tcPr>
            <w:tcW w:type="dxa" w:w="3900"/>
            <w:tcBorders>
              <w:top w:val="single" w:color="9DB89F" w:sz="4"/>
              <w:left w:val="single" w:color="9DB89F" w:sz="4"/>
              <w:bottom w:val="single" w:color="9DB89F" w:sz="4"/>
              <w:right w:val="single" w:color="9DB89F" w:sz="4"/>
            </w:tcBorders>
            <w:shd w:fill="2E6B34" w:color="auto" w:val="clear"/>
            <w:tcMar>
              <w:top w:type="dxa" w:w="70"/>
              <w:left w:type="dxa" w:w="100"/>
              <w:bottom w:type="dxa" w:w="70"/>
              <w:right w:type="dxa" w:w="100"/>
            </w:tcMar>
          </w:tcPr>
          <w:p>
            <w:r>
              <w:rPr>
                <w:rFonts w:ascii="Calibri" w:cs="Calibri" w:eastAsia="Calibri" w:hAnsi="Calibri"/>
                <w:b/>
                <w:bCs/>
                <w:color w:val="FFFFFF"/>
                <w:sz w:val="20"/>
                <w:szCs w:val="20"/>
              </w:rPr>
              <w:t xml:space="preserve">Variables / Metrics</w:t>
            </w:r>
          </w:p>
        </w:tc>
        <w:tc>
          <w:tcPr>
            <w:tcW w:type="dxa" w:w="3026"/>
            <w:tcBorders>
              <w:top w:val="single" w:color="9DB89F" w:sz="4"/>
              <w:left w:val="single" w:color="9DB89F" w:sz="4"/>
              <w:bottom w:val="single" w:color="9DB89F" w:sz="4"/>
              <w:right w:val="single" w:color="9DB89F" w:sz="4"/>
            </w:tcBorders>
            <w:shd w:fill="2E6B34" w:color="auto" w:val="clear"/>
            <w:tcMar>
              <w:top w:type="dxa" w:w="70"/>
              <w:left w:type="dxa" w:w="100"/>
              <w:bottom w:type="dxa" w:w="70"/>
              <w:right w:type="dxa" w:w="100"/>
            </w:tcMar>
          </w:tcPr>
          <w:p>
            <w:r>
              <w:rPr>
                <w:rFonts w:ascii="Calibri" w:cs="Calibri" w:eastAsia="Calibri" w:hAnsi="Calibri"/>
                <w:b/>
                <w:bCs/>
                <w:color w:val="FFFFFF"/>
                <w:sz w:val="20"/>
                <w:szCs w:val="20"/>
              </w:rPr>
              <w:t xml:space="preserve">Why It Matters</w:t>
            </w:r>
          </w:p>
        </w:tc>
      </w:tr>
      <w:tr>
        <w:tc>
          <w:tcPr>
            <w:tcW w:type="dxa" w:w="21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Regional production levels</w:t>
            </w:r>
          </w:p>
        </w:tc>
        <w:tc>
          <w:tcPr>
            <w:tcW w:type="dxa" w:w="39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State/district, crop, area sown (ha), total production (tonnes), yield (t/ha), share of national output</w:t>
            </w:r>
          </w:p>
        </w:tc>
        <w:tc>
          <w:tcPr>
            <w:tcW w:type="dxa" w:w="3026"/>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Shows where production is concentrated and which regions are productive or lagging</w:t>
            </w:r>
          </w:p>
        </w:tc>
      </w:tr>
      <w:tr>
        <w:tc>
          <w:tcPr>
            <w:tcW w:type="dxa" w:w="21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Seasonal trends</w:t>
            </w:r>
          </w:p>
        </w:tc>
        <w:tc>
          <w:tcPr>
            <w:tcW w:type="dxa" w:w="39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Date, month, crop season (Kharif, Rabi, Zaid), sowing and harvest period, monthly arrivals (tonnes)</w:t>
            </w:r>
          </w:p>
        </w:tc>
        <w:tc>
          <w:tcPr>
            <w:tcW w:type="dxa" w:w="3026"/>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Reveals recurring cycles in supply and prices</w:t>
            </w:r>
          </w:p>
        </w:tc>
      </w:tr>
      <w:tr>
        <w:tc>
          <w:tcPr>
            <w:tcW w:type="dxa" w:w="21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Market prices</w:t>
            </w:r>
          </w:p>
        </w:tc>
        <w:tc>
          <w:tcPr>
            <w:tcW w:type="dxa" w:w="39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Modal, minimum and maximum price (Rs/quintal), farm-gate vs wholesale vs retail price, price spread, volatility</w:t>
            </w:r>
          </w:p>
        </w:tc>
        <w:tc>
          <w:tcPr>
            <w:tcW w:type="dxa" w:w="3026"/>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Indicates profitability, market risk and timing opportunities</w:t>
            </w:r>
          </w:p>
        </w:tc>
      </w:tr>
      <w:tr>
        <w:tc>
          <w:tcPr>
            <w:tcW w:type="dxa" w:w="21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Weather and climate</w:t>
            </w:r>
          </w:p>
        </w:tc>
        <w:tc>
          <w:tcPr>
            <w:tcW w:type="dxa" w:w="39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Rainfall (mm), temperature (°C), humidity, rainfall deviation from normal, drought or flood flags</w:t>
            </w:r>
          </w:p>
        </w:tc>
        <w:tc>
          <w:tcPr>
            <w:tcW w:type="dxa" w:w="3026"/>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Main external driver of yield and supply shocks</w:t>
            </w:r>
          </w:p>
        </w:tc>
      </w:tr>
      <w:tr>
        <w:tc>
          <w:tcPr>
            <w:tcW w:type="dxa" w:w="21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Resource utilisation</w:t>
            </w:r>
          </w:p>
        </w:tc>
        <w:tc>
          <w:tcPr>
            <w:tcW w:type="dxa" w:w="39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Irrigated area share, water use, fertiliser use (kg/ha), seed and labour cost, input cost per hectare</w:t>
            </w:r>
          </w:p>
        </w:tc>
        <w:tc>
          <w:tcPr>
            <w:tcW w:type="dxa" w:w="3026"/>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Measures efficiency and cost structure</w:t>
            </w:r>
          </w:p>
        </w:tc>
      </w:tr>
      <w:tr>
        <w:tc>
          <w:tcPr>
            <w:tcW w:type="dxa" w:w="21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Economic and trade</w:t>
            </w:r>
          </w:p>
        </w:tc>
        <w:tc>
          <w:tcPr>
            <w:tcW w:type="dxa" w:w="39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Minimum support price, export and import volumes, exchange rate, fuel price, inflation</w:t>
            </w:r>
          </w:p>
        </w:tc>
        <w:tc>
          <w:tcPr>
            <w:tcW w:type="dxa" w:w="3026"/>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Explains demand-side and policy effects</w:t>
            </w:r>
          </w:p>
        </w:tc>
      </w:tr>
    </w:tbl>
    <w:p>
      <w:pPr>
        <w:spacing w:after="120"/>
      </w:pPr>
    </w:p>
    <w:p>
      <w:pPr>
        <w:pStyle w:val="Heading2"/>
        <w:spacing w:after="100" w:before="200"/>
      </w:pPr>
      <w:r>
        <w:rPr>
          <w:rFonts w:ascii="Calibri" w:cs="Calibri" w:eastAsia="Calibri" w:hAnsi="Calibri"/>
          <w:b/>
          <w:bCs/>
          <w:color w:val="1F4E24"/>
          <w:sz w:val="25"/>
          <w:szCs w:val="25"/>
        </w:rPr>
        <w:t xml:space="preserve">2.1 Key Derived Metrics</w:t>
      </w:r>
    </w:p>
    <w:p>
      <w:pPr>
        <w:pStyle w:val="ListParagraph"/>
        <w:numPr>
          <w:ilvl w:val="0"/>
          <w:numId w:val="2"/>
        </w:numPr>
        <w:spacing w:after="60"/>
      </w:pPr>
      <w:r>
        <w:rPr>
          <w:rFonts w:ascii="Calibri" w:cs="Calibri" w:eastAsia="Calibri" w:hAnsi="Calibri"/>
          <w:b/>
          <w:bCs/>
          <w:sz w:val="22"/>
          <w:szCs w:val="22"/>
        </w:rPr>
        <w:t xml:space="preserve">Year-on-year (YoY) growth: </w:t>
      </w:r>
      <w:r>
        <w:rPr>
          <w:rFonts w:ascii="Calibri" w:cs="Calibri" w:eastAsia="Calibri" w:hAnsi="Calibri"/>
          <w:b w:val="false"/>
          <w:bCs w:val="false"/>
          <w:sz w:val="22"/>
          <w:szCs w:val="22"/>
        </w:rPr>
        <w:t xml:space="preserve">percentage change in production, yield or price.</w:t>
      </w:r>
    </w:p>
    <w:p>
      <w:pPr>
        <w:pStyle w:val="ListParagraph"/>
        <w:numPr>
          <w:ilvl w:val="0"/>
          <w:numId w:val="2"/>
        </w:numPr>
        <w:spacing w:after="60"/>
      </w:pPr>
      <w:r>
        <w:rPr>
          <w:rFonts w:ascii="Calibri" w:cs="Calibri" w:eastAsia="Calibri" w:hAnsi="Calibri"/>
          <w:b/>
          <w:bCs/>
          <w:sz w:val="22"/>
          <w:szCs w:val="22"/>
        </w:rPr>
        <w:t xml:space="preserve">Compound Annual Growth Rate (CAGR): </w:t>
      </w:r>
      <w:r>
        <w:rPr>
          <w:rFonts w:ascii="Calibri" w:cs="Calibri" w:eastAsia="Calibri" w:hAnsi="Calibri"/>
          <w:b w:val="false"/>
          <w:bCs w:val="false"/>
          <w:sz w:val="22"/>
          <w:szCs w:val="22"/>
        </w:rPr>
        <w:t xml:space="preserve">long-term growth of production or price.</w:t>
      </w:r>
    </w:p>
    <w:p>
      <w:pPr>
        <w:pStyle w:val="ListParagraph"/>
        <w:numPr>
          <w:ilvl w:val="0"/>
          <w:numId w:val="2"/>
        </w:numPr>
        <w:spacing w:after="60"/>
      </w:pPr>
      <w:r>
        <w:rPr>
          <w:rFonts w:ascii="Calibri" w:cs="Calibri" w:eastAsia="Calibri" w:hAnsi="Calibri"/>
          <w:b/>
          <w:bCs/>
          <w:sz w:val="22"/>
          <w:szCs w:val="22"/>
        </w:rPr>
        <w:t xml:space="preserve">Seasonal index: </w:t>
      </w:r>
      <w:r>
        <w:rPr>
          <w:rFonts w:ascii="Calibri" w:cs="Calibri" w:eastAsia="Calibri" w:hAnsi="Calibri"/>
          <w:b w:val="false"/>
          <w:bCs w:val="false"/>
          <w:sz w:val="22"/>
          <w:szCs w:val="22"/>
        </w:rPr>
        <w:t xml:space="preserve">average price in a month divided by the overall average price.</w:t>
      </w:r>
    </w:p>
    <w:p>
      <w:pPr>
        <w:pStyle w:val="ListParagraph"/>
        <w:numPr>
          <w:ilvl w:val="0"/>
          <w:numId w:val="2"/>
        </w:numPr>
        <w:spacing w:after="60"/>
      </w:pPr>
      <w:r>
        <w:rPr>
          <w:rFonts w:ascii="Calibri" w:cs="Calibri" w:eastAsia="Calibri" w:hAnsi="Calibri"/>
          <w:b/>
          <w:bCs/>
          <w:sz w:val="22"/>
          <w:szCs w:val="22"/>
        </w:rPr>
        <w:t xml:space="preserve">Coefficient of variation (CV): </w:t>
      </w:r>
      <w:r>
        <w:rPr>
          <w:rFonts w:ascii="Calibri" w:cs="Calibri" w:eastAsia="Calibri" w:hAnsi="Calibri"/>
          <w:b w:val="false"/>
          <w:bCs w:val="false"/>
          <w:sz w:val="22"/>
          <w:szCs w:val="22"/>
        </w:rPr>
        <w:t xml:space="preserve">standard deviation relative to the mean, to compare volatility across crops.</w:t>
      </w:r>
    </w:p>
    <w:p>
      <w:pPr>
        <w:pStyle w:val="ListParagraph"/>
        <w:numPr>
          <w:ilvl w:val="0"/>
          <w:numId w:val="2"/>
        </w:numPr>
        <w:spacing w:after="60"/>
      </w:pPr>
      <w:r>
        <w:rPr>
          <w:rFonts w:ascii="Calibri" w:cs="Calibri" w:eastAsia="Calibri" w:hAnsi="Calibri"/>
          <w:b/>
          <w:bCs/>
          <w:sz w:val="22"/>
          <w:szCs w:val="22"/>
        </w:rPr>
        <w:t xml:space="preserve">Price-to-cost ratio and gross margin: </w:t>
      </w:r>
      <w:r>
        <w:rPr>
          <w:rFonts w:ascii="Calibri" w:cs="Calibri" w:eastAsia="Calibri" w:hAnsi="Calibri"/>
          <w:b w:val="false"/>
          <w:bCs w:val="false"/>
          <w:sz w:val="22"/>
          <w:szCs w:val="22"/>
        </w:rPr>
        <w:t xml:space="preserve">profitability per hectare or per quintal.</w:t>
      </w:r>
    </w:p>
    <w:p>
      <w:pPr>
        <w:pStyle w:val="ListParagraph"/>
        <w:numPr>
          <w:ilvl w:val="0"/>
          <w:numId w:val="2"/>
        </w:numPr>
        <w:spacing w:after="60"/>
      </w:pPr>
      <w:r>
        <w:rPr>
          <w:rFonts w:ascii="Calibri" w:cs="Calibri" w:eastAsia="Calibri" w:hAnsi="Calibri"/>
          <w:b/>
          <w:bCs/>
          <w:sz w:val="22"/>
          <w:szCs w:val="22"/>
        </w:rPr>
        <w:t xml:space="preserve">Rolling averages (3-, 6-, 12-month): </w:t>
      </w:r>
      <w:r>
        <w:rPr>
          <w:rFonts w:ascii="Calibri" w:cs="Calibri" w:eastAsia="Calibri" w:hAnsi="Calibri"/>
          <w:b w:val="false"/>
          <w:bCs w:val="false"/>
          <w:sz w:val="22"/>
          <w:szCs w:val="22"/>
        </w:rPr>
        <w:t xml:space="preserve">smooth short-term noise to show the underlying trend.</w:t>
      </w:r>
    </w:p>
    <w:p>
      <w:pPr>
        <w:pStyle w:val="ListParagraph"/>
        <w:numPr>
          <w:ilvl w:val="0"/>
          <w:numId w:val="2"/>
        </w:numPr>
        <w:spacing w:after="60"/>
      </w:pPr>
      <w:r>
        <w:rPr>
          <w:rFonts w:ascii="Calibri" w:cs="Calibri" w:eastAsia="Calibri" w:hAnsi="Calibri"/>
          <w:b/>
          <w:bCs/>
          <w:sz w:val="22"/>
          <w:szCs w:val="22"/>
        </w:rPr>
        <w:t xml:space="preserve">Yield gap: </w:t>
      </w:r>
      <w:r>
        <w:rPr>
          <w:rFonts w:ascii="Calibri" w:cs="Calibri" w:eastAsia="Calibri" w:hAnsi="Calibri"/>
          <w:b w:val="false"/>
          <w:bCs w:val="false"/>
          <w:sz w:val="22"/>
          <w:szCs w:val="22"/>
        </w:rPr>
        <w:t xml:space="preserve">difference between best-performing and average regional yield.</w:t>
      </w:r>
    </w:p>
    <w:p>
      <w:pPr>
        <w:pStyle w:val="Heading1"/>
        <w:spacing w:after="120" w:before="300"/>
      </w:pPr>
      <w:r>
        <w:rPr>
          <w:rFonts w:ascii="Calibri" w:cs="Calibri" w:eastAsia="Calibri" w:hAnsi="Calibri"/>
          <w:b/>
          <w:bCs/>
          <w:color w:val="2E6B34"/>
          <w:sz w:val="30"/>
          <w:szCs w:val="30"/>
        </w:rPr>
        <w:t xml:space="preserve">3. Types of Analyses to Be Performed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2726"/>
      </w:tblGrid>
      <w:tr>
        <w:trPr>
          <w:tblHeader/>
        </w:trPr>
        <w:tc>
          <w:tcPr>
            <w:tcW w:type="dxa" w:w="2300"/>
            <w:tcBorders>
              <w:top w:val="single" w:color="9DB89F" w:sz="4"/>
              <w:left w:val="single" w:color="9DB89F" w:sz="4"/>
              <w:bottom w:val="single" w:color="9DB89F" w:sz="4"/>
              <w:right w:val="single" w:color="9DB89F" w:sz="4"/>
            </w:tcBorders>
            <w:shd w:fill="2E6B34" w:color="auto" w:val="clear"/>
            <w:tcMar>
              <w:top w:type="dxa" w:w="70"/>
              <w:left w:type="dxa" w:w="100"/>
              <w:bottom w:type="dxa" w:w="70"/>
              <w:right w:type="dxa" w:w="100"/>
            </w:tcMar>
          </w:tcPr>
          <w:p>
            <w:r>
              <w:rPr>
                <w:rFonts w:ascii="Calibri" w:cs="Calibri" w:eastAsia="Calibri" w:hAnsi="Calibri"/>
                <w:b/>
                <w:bCs/>
                <w:color w:val="FFFFFF"/>
                <w:sz w:val="20"/>
                <w:szCs w:val="20"/>
              </w:rPr>
              <w:t xml:space="preserve">Analysis</w:t>
            </w:r>
          </w:p>
        </w:tc>
        <w:tc>
          <w:tcPr>
            <w:tcW w:type="dxa" w:w="4000"/>
            <w:tcBorders>
              <w:top w:val="single" w:color="9DB89F" w:sz="4"/>
              <w:left w:val="single" w:color="9DB89F" w:sz="4"/>
              <w:bottom w:val="single" w:color="9DB89F" w:sz="4"/>
              <w:right w:val="single" w:color="9DB89F" w:sz="4"/>
            </w:tcBorders>
            <w:shd w:fill="2E6B34" w:color="auto" w:val="clear"/>
            <w:tcMar>
              <w:top w:type="dxa" w:w="70"/>
              <w:left w:type="dxa" w:w="100"/>
              <w:bottom w:type="dxa" w:w="70"/>
              <w:right w:type="dxa" w:w="100"/>
            </w:tcMar>
          </w:tcPr>
          <w:p>
            <w:r>
              <w:rPr>
                <w:rFonts w:ascii="Calibri" w:cs="Calibri" w:eastAsia="Calibri" w:hAnsi="Calibri"/>
                <w:b/>
                <w:bCs/>
                <w:color w:val="FFFFFF"/>
                <w:sz w:val="20"/>
                <w:szCs w:val="20"/>
              </w:rPr>
              <w:t xml:space="preserve">What Will Be Done</w:t>
            </w:r>
          </w:p>
        </w:tc>
        <w:tc>
          <w:tcPr>
            <w:tcW w:type="dxa" w:w="2726"/>
            <w:tcBorders>
              <w:top w:val="single" w:color="9DB89F" w:sz="4"/>
              <w:left w:val="single" w:color="9DB89F" w:sz="4"/>
              <w:bottom w:val="single" w:color="9DB89F" w:sz="4"/>
              <w:right w:val="single" w:color="9DB89F" w:sz="4"/>
            </w:tcBorders>
            <w:shd w:fill="2E6B34" w:color="auto" w:val="clear"/>
            <w:tcMar>
              <w:top w:type="dxa" w:w="70"/>
              <w:left w:type="dxa" w:w="100"/>
              <w:bottom w:type="dxa" w:w="70"/>
              <w:right w:type="dxa" w:w="100"/>
            </w:tcMar>
          </w:tcPr>
          <w:p>
            <w:r>
              <w:rPr>
                <w:rFonts w:ascii="Calibri" w:cs="Calibri" w:eastAsia="Calibri" w:hAnsi="Calibri"/>
                <w:b/>
                <w:bCs/>
                <w:color w:val="FFFFFF"/>
                <w:sz w:val="20"/>
                <w:szCs w:val="20"/>
              </w:rPr>
              <w:t xml:space="preserve">Expected Insight</w:t>
            </w:r>
          </w:p>
        </w:tc>
      </w:tr>
      <w:tr>
        <w:tc>
          <w:tcPr>
            <w:tcW w:type="dxa" w:w="23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Data overview and quality assessment</w:t>
            </w:r>
          </w:p>
        </w:tc>
        <w:tc>
          <w:tcPr>
            <w:tcW w:type="dxa" w:w="40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Shape, data types, missing-value map, duplicates, summary statistics</w:t>
            </w:r>
          </w:p>
        </w:tc>
        <w:tc>
          <w:tcPr>
            <w:tcW w:type="dxa" w:w="2726"/>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Confidence in the data and cleaning needs</w:t>
            </w:r>
          </w:p>
        </w:tc>
      </w:tr>
      <w:tr>
        <w:tc>
          <w:tcPr>
            <w:tcW w:type="dxa" w:w="23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Univariate analysis</w:t>
            </w:r>
          </w:p>
        </w:tc>
        <w:tc>
          <w:tcPr>
            <w:tcW w:type="dxa" w:w="40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Distribution, central tendency (mean, median), spread (variance, IQR), skewness and kurtosis for each variable</w:t>
            </w:r>
          </w:p>
        </w:tc>
        <w:tc>
          <w:tcPr>
            <w:tcW w:type="dxa" w:w="2726"/>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Typical values, skewed variables, need for transformation</w:t>
            </w:r>
          </w:p>
        </w:tc>
      </w:tr>
      <w:tr>
        <w:tc>
          <w:tcPr>
            <w:tcW w:type="dxa" w:w="23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Bivariate analysis</w:t>
            </w:r>
          </w:p>
        </w:tc>
        <w:tc>
          <w:tcPr>
            <w:tcW w:type="dxa" w:w="40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Relationships such as rainfall vs yield, fertiliser vs yield, arrivals vs price</w:t>
            </w:r>
          </w:p>
        </w:tc>
        <w:tc>
          <w:tcPr>
            <w:tcW w:type="dxa" w:w="2726"/>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Direction and strength of relationships</w:t>
            </w:r>
          </w:p>
        </w:tc>
      </w:tr>
      <w:tr>
        <w:tc>
          <w:tcPr>
            <w:tcW w:type="dxa" w:w="23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Multivariate analysis</w:t>
            </w:r>
          </w:p>
        </w:tc>
        <w:tc>
          <w:tcPr>
            <w:tcW w:type="dxa" w:w="40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Correlation matrix, pair plots, grouped comparisons across crop, region and season</w:t>
            </w:r>
          </w:p>
        </w:tc>
        <w:tc>
          <w:tcPr>
            <w:tcW w:type="dxa" w:w="2726"/>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Combined effects and variable interactions</w:t>
            </w:r>
          </w:p>
        </w:tc>
      </w:tr>
      <w:tr>
        <w:tc>
          <w:tcPr>
            <w:tcW w:type="dxa" w:w="23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Time-series analysis</w:t>
            </w:r>
          </w:p>
        </w:tc>
        <w:tc>
          <w:tcPr>
            <w:tcW w:type="dxa" w:w="40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Trend, seasonality and residual decomposition, rolling statistics, autocorrelation, stationarity checks</w:t>
            </w:r>
          </w:p>
        </w:tc>
        <w:tc>
          <w:tcPr>
            <w:tcW w:type="dxa" w:w="2726"/>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Long-term direction, seasonal cycles, forecasting readiness</w:t>
            </w:r>
          </w:p>
        </w:tc>
      </w:tr>
      <w:tr>
        <w:tc>
          <w:tcPr>
            <w:tcW w:type="dxa" w:w="23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Regional and comparative analysis</w:t>
            </w:r>
          </w:p>
        </w:tc>
        <w:tc>
          <w:tcPr>
            <w:tcW w:type="dxa" w:w="40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Rank and compare states or districts on production, yield and price; cluster similar regions</w:t>
            </w:r>
          </w:p>
        </w:tc>
        <w:tc>
          <w:tcPr>
            <w:tcW w:type="dxa" w:w="2726"/>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High- and low-performing regions</w:t>
            </w:r>
          </w:p>
        </w:tc>
      </w:tr>
      <w:tr>
        <w:tc>
          <w:tcPr>
            <w:tcW w:type="dxa" w:w="23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Anomaly analysis</w:t>
            </w:r>
          </w:p>
        </w:tc>
        <w:tc>
          <w:tcPr>
            <w:tcW w:type="dxa" w:w="40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IQR, z-score and time-series based detection of unusual values</w:t>
            </w:r>
          </w:p>
        </w:tc>
        <w:tc>
          <w:tcPr>
            <w:tcW w:type="dxa" w:w="2726"/>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Errors versus genuine market events</w:t>
            </w:r>
          </w:p>
        </w:tc>
      </w:tr>
      <w:tr>
        <w:tc>
          <w:tcPr>
            <w:tcW w:type="dxa" w:w="23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Segmentation (optional)</w:t>
            </w:r>
          </w:p>
        </w:tc>
        <w:tc>
          <w:tcPr>
            <w:tcW w:type="dxa" w:w="40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K-Means clustering of regions or crops by yield, price and volatility</w:t>
            </w:r>
          </w:p>
        </w:tc>
        <w:tc>
          <w:tcPr>
            <w:tcW w:type="dxa" w:w="2726"/>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Groups with similar behaviour for targeted decisions</w:t>
            </w:r>
          </w:p>
        </w:tc>
      </w:tr>
    </w:tbl>
    <w:p>
      <w:pPr>
        <w:spacing w:after="120"/>
      </w:pPr>
    </w:p>
    <w:p>
      <w:pPr>
        <w:pStyle w:val="Heading1"/>
        <w:spacing w:after="120" w:before="300"/>
      </w:pPr>
      <w:r>
        <w:rPr>
          <w:rFonts w:ascii="Calibri" w:cs="Calibri" w:eastAsia="Calibri" w:hAnsi="Calibri"/>
          <w:b/>
          <w:bCs/>
          <w:color w:val="2E6B34"/>
          <w:sz w:val="30"/>
          <w:szCs w:val="30"/>
        </w:rPr>
        <w:t xml:space="preserve">4. Visualisation Plan</w:t>
      </w:r>
    </w:p>
    <w:p>
      <w:pPr>
        <w:spacing w:after="120" w:line="276"/>
      </w:pPr>
      <w:r>
        <w:rPr>
          <w:rFonts w:ascii="Calibri" w:cs="Calibri" w:eastAsia="Calibri" w:hAnsi="Calibri"/>
          <w:sz w:val="22"/>
          <w:szCs w:val="22"/>
        </w:rPr>
        <w:t xml:space="preserve">Each visual is chosen to fit the type of data and the question being answered. All charts will have clear titles, labelled axes with units, a consistent colour palette and a short one-line takeaway.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tcBorders>
              <w:top w:val="single" w:color="9DB89F" w:sz="4"/>
              <w:left w:val="single" w:color="9DB89F" w:sz="4"/>
              <w:bottom w:val="single" w:color="9DB89F" w:sz="4"/>
              <w:right w:val="single" w:color="9DB89F" w:sz="4"/>
            </w:tcBorders>
            <w:shd w:fill="2E6B34" w:color="auto" w:val="clear"/>
            <w:tcMar>
              <w:top w:type="dxa" w:w="70"/>
              <w:left w:type="dxa" w:w="100"/>
              <w:bottom w:type="dxa" w:w="70"/>
              <w:right w:type="dxa" w:w="100"/>
            </w:tcMar>
          </w:tcPr>
          <w:p>
            <w:r>
              <w:rPr>
                <w:rFonts w:ascii="Calibri" w:cs="Calibri" w:eastAsia="Calibri" w:hAnsi="Calibri"/>
                <w:b/>
                <w:bCs/>
                <w:color w:val="FFFFFF"/>
                <w:sz w:val="20"/>
                <w:szCs w:val="20"/>
              </w:rPr>
              <w:t xml:space="preserve">Chart Type</w:t>
            </w:r>
          </w:p>
        </w:tc>
        <w:tc>
          <w:tcPr>
            <w:tcW w:type="dxa" w:w="3200"/>
            <w:tcBorders>
              <w:top w:val="single" w:color="9DB89F" w:sz="4"/>
              <w:left w:val="single" w:color="9DB89F" w:sz="4"/>
              <w:bottom w:val="single" w:color="9DB89F" w:sz="4"/>
              <w:right w:val="single" w:color="9DB89F" w:sz="4"/>
            </w:tcBorders>
            <w:shd w:fill="2E6B34" w:color="auto" w:val="clear"/>
            <w:tcMar>
              <w:top w:type="dxa" w:w="70"/>
              <w:left w:type="dxa" w:w="100"/>
              <w:bottom w:type="dxa" w:w="70"/>
              <w:right w:type="dxa" w:w="100"/>
            </w:tcMar>
          </w:tcPr>
          <w:p>
            <w:r>
              <w:rPr>
                <w:rFonts w:ascii="Calibri" w:cs="Calibri" w:eastAsia="Calibri" w:hAnsi="Calibri"/>
                <w:b/>
                <w:bCs/>
                <w:color w:val="FFFFFF"/>
                <w:sz w:val="20"/>
                <w:szCs w:val="20"/>
              </w:rPr>
              <w:t xml:space="preserve">Suitable Data / Question</w:t>
            </w:r>
          </w:p>
        </w:tc>
        <w:tc>
          <w:tcPr>
            <w:tcW w:type="dxa" w:w="3426"/>
            <w:tcBorders>
              <w:top w:val="single" w:color="9DB89F" w:sz="4"/>
              <w:left w:val="single" w:color="9DB89F" w:sz="4"/>
              <w:bottom w:val="single" w:color="9DB89F" w:sz="4"/>
              <w:right w:val="single" w:color="9DB89F" w:sz="4"/>
            </w:tcBorders>
            <w:shd w:fill="2E6B34" w:color="auto" w:val="clear"/>
            <w:tcMar>
              <w:top w:type="dxa" w:w="70"/>
              <w:left w:type="dxa" w:w="100"/>
              <w:bottom w:type="dxa" w:w="70"/>
              <w:right w:type="dxa" w:w="100"/>
            </w:tcMar>
          </w:tcPr>
          <w:p>
            <w:r>
              <w:rPr>
                <w:rFonts w:ascii="Calibri" w:cs="Calibri" w:eastAsia="Calibri" w:hAnsi="Calibri"/>
                <w:b/>
                <w:bCs/>
                <w:color w:val="FFFFFF"/>
                <w:sz w:val="20"/>
                <w:szCs w:val="20"/>
              </w:rPr>
              <w:t xml:space="preserve">Agribusiness Example</w:t>
            </w:r>
          </w:p>
        </w:tc>
      </w:tr>
      <w:tr>
        <w:tc>
          <w:tcPr>
            <w:tcW w:type="dxa" w:w="24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Bar chart</w:t>
            </w:r>
          </w:p>
        </w:tc>
        <w:tc>
          <w:tcPr>
            <w:tcW w:type="dxa" w:w="32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Comparing categories</w:t>
            </w:r>
          </w:p>
        </w:tc>
        <w:tc>
          <w:tcPr>
            <w:tcW w:type="dxa" w:w="3426"/>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Production by state; top 10 crops by area</w:t>
            </w:r>
          </w:p>
        </w:tc>
      </w:tr>
      <w:tr>
        <w:tc>
          <w:tcPr>
            <w:tcW w:type="dxa" w:w="24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Stacked / grouped bar chart</w:t>
            </w:r>
          </w:p>
        </w:tc>
        <w:tc>
          <w:tcPr>
            <w:tcW w:type="dxa" w:w="32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Composition and comparison across groups</w:t>
            </w:r>
          </w:p>
        </w:tc>
        <w:tc>
          <w:tcPr>
            <w:tcW w:type="dxa" w:w="3426"/>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Crop-wise share of production within each region</w:t>
            </w:r>
          </w:p>
        </w:tc>
      </w:tr>
      <w:tr>
        <w:tc>
          <w:tcPr>
            <w:tcW w:type="dxa" w:w="24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Line chart</w:t>
            </w:r>
          </w:p>
        </w:tc>
        <w:tc>
          <w:tcPr>
            <w:tcW w:type="dxa" w:w="32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Trends over time</w:t>
            </w:r>
          </w:p>
        </w:tc>
        <w:tc>
          <w:tcPr>
            <w:tcW w:type="dxa" w:w="3426"/>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Monthly modal price of onion over five years</w:t>
            </w:r>
          </w:p>
        </w:tc>
      </w:tr>
      <w:tr>
        <w:tc>
          <w:tcPr>
            <w:tcW w:type="dxa" w:w="24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Histogram and density plot</w:t>
            </w:r>
          </w:p>
        </w:tc>
        <w:tc>
          <w:tcPr>
            <w:tcW w:type="dxa" w:w="32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Distribution of one numeric variable</w:t>
            </w:r>
          </w:p>
        </w:tc>
        <w:tc>
          <w:tcPr>
            <w:tcW w:type="dxa" w:w="3426"/>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Distribution of wheat yield across districts</w:t>
            </w:r>
          </w:p>
        </w:tc>
      </w:tr>
      <w:tr>
        <w:tc>
          <w:tcPr>
            <w:tcW w:type="dxa" w:w="24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Box plot / violin plot</w:t>
            </w:r>
          </w:p>
        </w:tc>
        <w:tc>
          <w:tcPr>
            <w:tcW w:type="dxa" w:w="32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Spread, median and outliers across groups</w:t>
            </w:r>
          </w:p>
        </w:tc>
        <w:tc>
          <w:tcPr>
            <w:tcW w:type="dxa" w:w="3426"/>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Price distribution by month or by market</w:t>
            </w:r>
          </w:p>
        </w:tc>
      </w:tr>
      <w:tr>
        <w:tc>
          <w:tcPr>
            <w:tcW w:type="dxa" w:w="24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Scatter plot (with trend line)</w:t>
            </w:r>
          </w:p>
        </w:tc>
        <w:tc>
          <w:tcPr>
            <w:tcW w:type="dxa" w:w="32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Relationship between two numeric variables</w:t>
            </w:r>
          </w:p>
        </w:tc>
        <w:tc>
          <w:tcPr>
            <w:tcW w:type="dxa" w:w="3426"/>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Rainfall vs yield; fertiliser use vs yield</w:t>
            </w:r>
          </w:p>
        </w:tc>
      </w:tr>
      <w:tr>
        <w:tc>
          <w:tcPr>
            <w:tcW w:type="dxa" w:w="24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Bubble chart</w:t>
            </w:r>
          </w:p>
        </w:tc>
        <w:tc>
          <w:tcPr>
            <w:tcW w:type="dxa" w:w="32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Three variables at once</w:t>
            </w:r>
          </w:p>
        </w:tc>
        <w:tc>
          <w:tcPr>
            <w:tcW w:type="dxa" w:w="3426"/>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Area (size) vs yield vs price (colour) for crops</w:t>
            </w:r>
          </w:p>
        </w:tc>
      </w:tr>
      <w:tr>
        <w:tc>
          <w:tcPr>
            <w:tcW w:type="dxa" w:w="24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Heat map</w:t>
            </w:r>
          </w:p>
        </w:tc>
        <w:tc>
          <w:tcPr>
            <w:tcW w:type="dxa" w:w="32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Correlation matrix or month-by-year patterns</w:t>
            </w:r>
          </w:p>
        </w:tc>
        <w:tc>
          <w:tcPr>
            <w:tcW w:type="dxa" w:w="3426"/>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Correlation of weather and yield; price seasonality by month and year</w:t>
            </w:r>
          </w:p>
        </w:tc>
      </w:tr>
      <w:tr>
        <w:tc>
          <w:tcPr>
            <w:tcW w:type="dxa" w:w="24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Seasonal subseries / decomposition plot</w:t>
            </w:r>
          </w:p>
        </w:tc>
        <w:tc>
          <w:tcPr>
            <w:tcW w:type="dxa" w:w="32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Trend, seasonal and residual components</w:t>
            </w:r>
          </w:p>
        </w:tc>
        <w:tc>
          <w:tcPr>
            <w:tcW w:type="dxa" w:w="3426"/>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Seasonality of tomato prices</w:t>
            </w:r>
          </w:p>
        </w:tc>
      </w:tr>
      <w:tr>
        <w:tc>
          <w:tcPr>
            <w:tcW w:type="dxa" w:w="24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Pair plot</w:t>
            </w:r>
          </w:p>
        </w:tc>
        <w:tc>
          <w:tcPr>
            <w:tcW w:type="dxa" w:w="32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Pairwise relationships among key variables</w:t>
            </w:r>
          </w:p>
        </w:tc>
        <w:tc>
          <w:tcPr>
            <w:tcW w:type="dxa" w:w="3426"/>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Yield, rainfall, temperature and fertiliser together</w:t>
            </w:r>
          </w:p>
        </w:tc>
      </w:tr>
      <w:tr>
        <w:tc>
          <w:tcPr>
            <w:tcW w:type="dxa" w:w="24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Choropleth map</w:t>
            </w:r>
          </w:p>
        </w:tc>
        <w:tc>
          <w:tcPr>
            <w:tcW w:type="dxa" w:w="32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Geographic patterns</w:t>
            </w:r>
          </w:p>
        </w:tc>
        <w:tc>
          <w:tcPr>
            <w:tcW w:type="dxa" w:w="3426"/>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Yield or production intensity by state</w:t>
            </w:r>
          </w:p>
        </w:tc>
      </w:tr>
      <w:tr>
        <w:tc>
          <w:tcPr>
            <w:tcW w:type="dxa" w:w="24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Pie / donut chart (used sparingly)</w:t>
            </w:r>
          </w:p>
        </w:tc>
        <w:tc>
          <w:tcPr>
            <w:tcW w:type="dxa" w:w="32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Simple part-to-whole with few categories</w:t>
            </w:r>
          </w:p>
        </w:tc>
        <w:tc>
          <w:tcPr>
            <w:tcW w:type="dxa" w:w="3426"/>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Share of Kharif vs Rabi production</w:t>
            </w:r>
          </w:p>
        </w:tc>
      </w:tr>
      <w:tr>
        <w:tc>
          <w:tcPr>
            <w:tcW w:type="dxa" w:w="24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Dashboard (Power BI / Tableau)</w:t>
            </w:r>
          </w:p>
        </w:tc>
        <w:tc>
          <w:tcPr>
            <w:tcW w:type="dxa" w:w="32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Interactive summary for decision makers</w:t>
            </w:r>
          </w:p>
        </w:tc>
        <w:tc>
          <w:tcPr>
            <w:tcW w:type="dxa" w:w="3426"/>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Filter by crop, region and year</w:t>
            </w:r>
          </w:p>
        </w:tc>
      </w:tr>
    </w:tbl>
    <w:p>
      <w:pPr>
        <w:spacing w:after="120"/>
      </w:pPr>
    </w:p>
    <w:p>
      <w:pPr>
        <w:pStyle w:val="Heading2"/>
        <w:spacing w:after="100" w:before="200"/>
      </w:pPr>
      <w:r>
        <w:rPr>
          <w:rFonts w:ascii="Calibri" w:cs="Calibri" w:eastAsia="Calibri" w:hAnsi="Calibri"/>
          <w:b/>
          <w:bCs/>
          <w:color w:val="1F4E24"/>
          <w:sz w:val="25"/>
          <w:szCs w:val="25"/>
        </w:rPr>
        <w:t xml:space="preserve">4.1 Visualisation Principles</w:t>
      </w:r>
    </w:p>
    <w:p>
      <w:pPr>
        <w:pStyle w:val="ListParagraph"/>
        <w:numPr>
          <w:ilvl w:val="0"/>
          <w:numId w:val="2"/>
        </w:numPr>
        <w:spacing w:after="60"/>
      </w:pPr>
      <w:r>
        <w:rPr>
          <w:rFonts w:ascii="Calibri" w:cs="Calibri" w:eastAsia="Calibri" w:hAnsi="Calibri"/>
          <w:sz w:val="22"/>
          <w:szCs w:val="22"/>
        </w:rPr>
        <w:t xml:space="preserve">Choose the simplest chart that answers the question; avoid 3D effects and clutter.</w:t>
      </w:r>
    </w:p>
    <w:p>
      <w:pPr>
        <w:pStyle w:val="ListParagraph"/>
        <w:numPr>
          <w:ilvl w:val="0"/>
          <w:numId w:val="2"/>
        </w:numPr>
        <w:spacing w:after="60"/>
      </w:pPr>
      <w:r>
        <w:rPr>
          <w:rFonts w:ascii="Calibri" w:cs="Calibri" w:eastAsia="Calibri" w:hAnsi="Calibri"/>
          <w:sz w:val="22"/>
          <w:szCs w:val="22"/>
        </w:rPr>
        <w:t xml:space="preserve">Use log scales for heavily skewed values and the same axes when comparing groups.</w:t>
      </w:r>
    </w:p>
    <w:p>
      <w:pPr>
        <w:pStyle w:val="ListParagraph"/>
        <w:numPr>
          <w:ilvl w:val="0"/>
          <w:numId w:val="2"/>
        </w:numPr>
        <w:spacing w:after="60"/>
      </w:pPr>
      <w:r>
        <w:rPr>
          <w:rFonts w:ascii="Calibri" w:cs="Calibri" w:eastAsia="Calibri" w:hAnsi="Calibri"/>
          <w:sz w:val="22"/>
          <w:szCs w:val="22"/>
        </w:rPr>
        <w:t xml:space="preserve">Use colour meaningfully and ensure charts are readable to colour-blind viewers.</w:t>
      </w:r>
    </w:p>
    <w:p>
      <w:pPr>
        <w:pStyle w:val="ListParagraph"/>
        <w:numPr>
          <w:ilvl w:val="0"/>
          <w:numId w:val="2"/>
        </w:numPr>
        <w:spacing w:after="60"/>
      </w:pPr>
      <w:r>
        <w:rPr>
          <w:rFonts w:ascii="Calibri" w:cs="Calibri" w:eastAsia="Calibri" w:hAnsi="Calibri"/>
          <w:sz w:val="22"/>
          <w:szCs w:val="22"/>
        </w:rPr>
        <w:t xml:space="preserve">Annotate important events such as droughts, policy changes or price spikes.</w:t>
      </w:r>
    </w:p>
    <w:p>
      <w:pPr>
        <w:pStyle w:val="Heading1"/>
        <w:spacing w:after="120" w:before="300"/>
      </w:pPr>
      <w:r>
        <w:rPr>
          <w:rFonts w:ascii="Calibri" w:cs="Calibri" w:eastAsia="Calibri" w:hAnsi="Calibri"/>
          <w:b/>
          <w:bCs/>
          <w:color w:val="2E6B34"/>
          <w:sz w:val="30"/>
          <w:szCs w:val="30"/>
        </w:rPr>
        <w:t xml:space="preserve">5. Proposed Structure of the Final EDA Report</w:t>
      </w:r>
    </w:p>
    <w:p>
      <w:pPr>
        <w:spacing w:after="120" w:line="276"/>
      </w:pPr>
      <w:r>
        <w:rPr>
          <w:rFonts w:ascii="Calibri" w:cs="Calibri" w:eastAsia="Calibri" w:hAnsi="Calibri"/>
          <w:sz w:val="22"/>
          <w:szCs w:val="22"/>
        </w:rPr>
        <w:t xml:space="preserve">The final report will follow the structure below. Each section is drafted with its purpose and contents.</w:t>
      </w:r>
    </w:p>
    <w:p>
      <w:pPr>
        <w:pStyle w:val="Heading2"/>
        <w:spacing w:after="100" w:before="200"/>
      </w:pPr>
      <w:r>
        <w:rPr>
          <w:rFonts w:ascii="Calibri" w:cs="Calibri" w:eastAsia="Calibri" w:hAnsi="Calibri"/>
          <w:b/>
          <w:bCs/>
          <w:color w:val="1F4E24"/>
          <w:sz w:val="25"/>
          <w:szCs w:val="25"/>
        </w:rPr>
        <w:t xml:space="preserve">5.1 Title Page and Table of Contents</w:t>
      </w:r>
    </w:p>
    <w:p>
      <w:pPr>
        <w:spacing w:after="120" w:line="276"/>
      </w:pPr>
      <w:r>
        <w:rPr>
          <w:rFonts w:ascii="Calibri" w:cs="Calibri" w:eastAsia="Calibri" w:hAnsi="Calibri"/>
          <w:sz w:val="22"/>
          <w:szCs w:val="22"/>
        </w:rPr>
        <w:t xml:space="preserve">Report title, author, department, date and a list of sections, tables and figures.</w:t>
      </w:r>
    </w:p>
    <w:p>
      <w:pPr>
        <w:pStyle w:val="Heading2"/>
        <w:spacing w:after="100" w:before="200"/>
      </w:pPr>
      <w:r>
        <w:rPr>
          <w:rFonts w:ascii="Calibri" w:cs="Calibri" w:eastAsia="Calibri" w:hAnsi="Calibri"/>
          <w:b/>
          <w:bCs/>
          <w:color w:val="1F4E24"/>
          <w:sz w:val="25"/>
          <w:szCs w:val="25"/>
        </w:rPr>
        <w:t xml:space="preserve">5.2 Executive Summary</w:t>
      </w:r>
    </w:p>
    <w:p>
      <w:pPr>
        <w:pStyle w:val="ListParagraph"/>
        <w:numPr>
          <w:ilvl w:val="0"/>
          <w:numId w:val="2"/>
        </w:numPr>
        <w:spacing w:after="60"/>
      </w:pPr>
      <w:r>
        <w:rPr>
          <w:rFonts w:ascii="Calibri" w:cs="Calibri" w:eastAsia="Calibri" w:hAnsi="Calibri"/>
          <w:sz w:val="22"/>
          <w:szCs w:val="22"/>
        </w:rPr>
        <w:t xml:space="preserve">One page, written for non-technical decision makers.</w:t>
      </w:r>
    </w:p>
    <w:p>
      <w:pPr>
        <w:pStyle w:val="ListParagraph"/>
        <w:numPr>
          <w:ilvl w:val="0"/>
          <w:numId w:val="2"/>
        </w:numPr>
        <w:spacing w:after="60"/>
      </w:pPr>
      <w:r>
        <w:rPr>
          <w:rFonts w:ascii="Calibri" w:cs="Calibri" w:eastAsia="Calibri" w:hAnsi="Calibri"/>
          <w:sz w:val="22"/>
          <w:szCs w:val="22"/>
        </w:rPr>
        <w:t xml:space="preserve">States the objective, the data used, the three to five most important findings, and the main recommendations.</w:t>
      </w:r>
    </w:p>
    <w:p>
      <w:pPr>
        <w:pStyle w:val="ListParagraph"/>
        <w:numPr>
          <w:ilvl w:val="0"/>
          <w:numId w:val="2"/>
        </w:numPr>
        <w:spacing w:after="60"/>
      </w:pPr>
      <w:r>
        <w:rPr>
          <w:rFonts w:ascii="Calibri" w:cs="Calibri" w:eastAsia="Calibri" w:hAnsi="Calibri"/>
          <w:sz w:val="22"/>
          <w:szCs w:val="22"/>
        </w:rPr>
        <w:t xml:space="preserve">Example finding: 'Prices of the crop typically fall 15 to 20 percent during peak arrivals in October to December, while yield varies strongly with monsoon rainfall.' (hypothetical)</w:t>
      </w:r>
    </w:p>
    <w:p>
      <w:pPr>
        <w:pStyle w:val="Heading2"/>
        <w:spacing w:after="100" w:before="200"/>
      </w:pPr>
      <w:r>
        <w:rPr>
          <w:rFonts w:ascii="Calibri" w:cs="Calibri" w:eastAsia="Calibri" w:hAnsi="Calibri"/>
          <w:b/>
          <w:bCs/>
          <w:color w:val="1F4E24"/>
          <w:sz w:val="25"/>
          <w:szCs w:val="25"/>
        </w:rPr>
        <w:t xml:space="preserve">5.3 Introduction and Business Context</w:t>
      </w:r>
    </w:p>
    <w:p>
      <w:pPr>
        <w:pStyle w:val="ListParagraph"/>
        <w:numPr>
          <w:ilvl w:val="0"/>
          <w:numId w:val="2"/>
        </w:numPr>
        <w:spacing w:after="60"/>
      </w:pPr>
      <w:r>
        <w:rPr>
          <w:rFonts w:ascii="Calibri" w:cs="Calibri" w:eastAsia="Calibri" w:hAnsi="Calibri"/>
          <w:sz w:val="22"/>
          <w:szCs w:val="22"/>
        </w:rPr>
        <w:t xml:space="preserve">Background of the agribusiness domain, problem statement and business questions.</w:t>
      </w:r>
    </w:p>
    <w:p>
      <w:pPr>
        <w:pStyle w:val="ListParagraph"/>
        <w:numPr>
          <w:ilvl w:val="0"/>
          <w:numId w:val="2"/>
        </w:numPr>
        <w:spacing w:after="60"/>
      </w:pPr>
      <w:r>
        <w:rPr>
          <w:rFonts w:ascii="Calibri" w:cs="Calibri" w:eastAsia="Calibri" w:hAnsi="Calibri"/>
          <w:sz w:val="22"/>
          <w:szCs w:val="22"/>
        </w:rPr>
        <w:t xml:space="preserve">Scope: crops, regions and time period covered.</w:t>
      </w:r>
    </w:p>
    <w:p>
      <w:pPr>
        <w:pStyle w:val="Heading2"/>
        <w:spacing w:after="100" w:before="200"/>
      </w:pPr>
      <w:r>
        <w:rPr>
          <w:rFonts w:ascii="Calibri" w:cs="Calibri" w:eastAsia="Calibri" w:hAnsi="Calibri"/>
          <w:b/>
          <w:bCs/>
          <w:color w:val="1F4E24"/>
          <w:sz w:val="25"/>
          <w:szCs w:val="25"/>
        </w:rPr>
        <w:t xml:space="preserve">5.4 Data Description</w:t>
      </w:r>
    </w:p>
    <w:p>
      <w:pPr>
        <w:pStyle w:val="ListParagraph"/>
        <w:numPr>
          <w:ilvl w:val="0"/>
          <w:numId w:val="2"/>
        </w:numPr>
        <w:spacing w:after="60"/>
      </w:pPr>
      <w:r>
        <w:rPr>
          <w:rFonts w:ascii="Calibri" w:cs="Calibri" w:eastAsia="Calibri" w:hAnsi="Calibri"/>
          <w:sz w:val="22"/>
          <w:szCs w:val="22"/>
        </w:rPr>
        <w:t xml:space="preserve">Sources, collection date, granularity and size of the dataset.</w:t>
      </w:r>
    </w:p>
    <w:p>
      <w:pPr>
        <w:pStyle w:val="ListParagraph"/>
        <w:numPr>
          <w:ilvl w:val="0"/>
          <w:numId w:val="2"/>
        </w:numPr>
        <w:spacing w:after="60"/>
      </w:pPr>
      <w:r>
        <w:rPr>
          <w:rFonts w:ascii="Calibri" w:cs="Calibri" w:eastAsia="Calibri" w:hAnsi="Calibri"/>
          <w:sz w:val="22"/>
          <w:szCs w:val="22"/>
        </w:rPr>
        <w:t xml:space="preserve">Data dictionary listing each variable, type, unit and meaning.</w:t>
      </w:r>
    </w:p>
    <w:p>
      <w:pPr>
        <w:pStyle w:val="ListParagraph"/>
        <w:numPr>
          <w:ilvl w:val="0"/>
          <w:numId w:val="2"/>
        </w:numPr>
        <w:spacing w:after="60"/>
      </w:pPr>
      <w:r>
        <w:rPr>
          <w:rFonts w:ascii="Calibri" w:cs="Calibri" w:eastAsia="Calibri" w:hAnsi="Calibri"/>
          <w:sz w:val="22"/>
          <w:szCs w:val="22"/>
        </w:rPr>
        <w:t xml:space="preserve">Known limitations and assumptions.</w:t>
      </w:r>
    </w:p>
    <w:p>
      <w:pPr>
        <w:pStyle w:val="Heading2"/>
        <w:spacing w:after="100" w:before="200"/>
      </w:pPr>
      <w:r>
        <w:rPr>
          <w:rFonts w:ascii="Calibri" w:cs="Calibri" w:eastAsia="Calibri" w:hAnsi="Calibri"/>
          <w:b/>
          <w:bCs/>
          <w:color w:val="1F4E24"/>
          <w:sz w:val="25"/>
          <w:szCs w:val="25"/>
        </w:rPr>
        <w:t xml:space="preserve">5.5 Methodology</w:t>
      </w:r>
    </w:p>
    <w:p>
      <w:pPr>
        <w:pStyle w:val="ListParagraph"/>
        <w:numPr>
          <w:ilvl w:val="0"/>
          <w:numId w:val="2"/>
        </w:numPr>
        <w:spacing w:after="60"/>
      </w:pPr>
      <w:r>
        <w:rPr>
          <w:rFonts w:ascii="Calibri" w:cs="Calibri" w:eastAsia="Calibri" w:hAnsi="Calibri"/>
          <w:sz w:val="22"/>
          <w:szCs w:val="22"/>
        </w:rPr>
        <w:t xml:space="preserve">Data cleaning and preprocessing steps (missing values, duplicates, unit standardisation) as planned in Week 2.</w:t>
      </w:r>
    </w:p>
    <w:p>
      <w:pPr>
        <w:pStyle w:val="ListParagraph"/>
        <w:numPr>
          <w:ilvl w:val="0"/>
          <w:numId w:val="2"/>
        </w:numPr>
        <w:spacing w:after="60"/>
      </w:pPr>
      <w:r>
        <w:rPr>
          <w:rFonts w:ascii="Calibri" w:cs="Calibri" w:eastAsia="Calibri" w:hAnsi="Calibri"/>
          <w:sz w:val="22"/>
          <w:szCs w:val="22"/>
        </w:rPr>
        <w:t xml:space="preserve">Statistical techniques, tools (Python with pandas, NumPy, Matplotlib, Seaborn, SciPy, statsmodels) and software versions.</w:t>
      </w:r>
    </w:p>
    <w:p>
      <w:pPr>
        <w:pStyle w:val="ListParagraph"/>
        <w:numPr>
          <w:ilvl w:val="0"/>
          <w:numId w:val="2"/>
        </w:numPr>
        <w:spacing w:after="60"/>
      </w:pPr>
      <w:r>
        <w:rPr>
          <w:rFonts w:ascii="Calibri" w:cs="Calibri" w:eastAsia="Calibri" w:hAnsi="Calibri"/>
          <w:sz w:val="22"/>
          <w:szCs w:val="22"/>
        </w:rPr>
        <w:t xml:space="preserve">Definitions of metrics and thresholds used for anomaly detection and correlation analysis.</w:t>
      </w:r>
    </w:p>
    <w:p>
      <w:pPr>
        <w:pStyle w:val="Heading2"/>
        <w:spacing w:after="100" w:before="200"/>
      </w:pPr>
      <w:r>
        <w:rPr>
          <w:rFonts w:ascii="Calibri" w:cs="Calibri" w:eastAsia="Calibri" w:hAnsi="Calibri"/>
          <w:b/>
          <w:bCs/>
          <w:color w:val="1F4E24"/>
          <w:sz w:val="25"/>
          <w:szCs w:val="25"/>
        </w:rPr>
        <w:t xml:space="preserve">5.6 Data Quality Assessment</w:t>
      </w:r>
    </w:p>
    <w:p>
      <w:pPr>
        <w:pStyle w:val="ListParagraph"/>
        <w:numPr>
          <w:ilvl w:val="0"/>
          <w:numId w:val="2"/>
        </w:numPr>
        <w:spacing w:after="60"/>
      </w:pPr>
      <w:r>
        <w:rPr>
          <w:rFonts w:ascii="Calibri" w:cs="Calibri" w:eastAsia="Calibri" w:hAnsi="Calibri"/>
          <w:sz w:val="22"/>
          <w:szCs w:val="22"/>
        </w:rPr>
        <w:t xml:space="preserve">Missing-value summary, duplicates, outliers found and actions taken.</w:t>
      </w:r>
    </w:p>
    <w:p>
      <w:pPr>
        <w:pStyle w:val="ListParagraph"/>
        <w:numPr>
          <w:ilvl w:val="0"/>
          <w:numId w:val="2"/>
        </w:numPr>
        <w:spacing w:after="60"/>
      </w:pPr>
      <w:r>
        <w:rPr>
          <w:rFonts w:ascii="Calibri" w:cs="Calibri" w:eastAsia="Calibri" w:hAnsi="Calibri"/>
          <w:sz w:val="22"/>
          <w:szCs w:val="22"/>
        </w:rPr>
        <w:t xml:space="preserve">Before and after comparison of key statistics.</w:t>
      </w:r>
    </w:p>
    <w:p>
      <w:pPr>
        <w:pStyle w:val="Heading2"/>
        <w:spacing w:after="100" w:before="200"/>
      </w:pPr>
      <w:r>
        <w:rPr>
          <w:rFonts w:ascii="Calibri" w:cs="Calibri" w:eastAsia="Calibri" w:hAnsi="Calibri"/>
          <w:b/>
          <w:bCs/>
          <w:color w:val="1F4E24"/>
          <w:sz w:val="25"/>
          <w:szCs w:val="25"/>
        </w:rPr>
        <w:t xml:space="preserve">5.7 Analysis and Findings</w:t>
      </w:r>
    </w:p>
    <w:p>
      <w:pPr>
        <w:pStyle w:val="ListParagraph"/>
        <w:numPr>
          <w:ilvl w:val="0"/>
          <w:numId w:val="3"/>
        </w:numPr>
        <w:spacing w:after="60"/>
      </w:pPr>
      <w:r>
        <w:rPr>
          <w:rFonts w:ascii="Calibri" w:cs="Calibri" w:eastAsia="Calibri" w:hAnsi="Calibri"/>
          <w:sz w:val="22"/>
          <w:szCs w:val="22"/>
        </w:rPr>
        <w:t xml:space="preserve">Univariate analysis: distribution of yield, area, production and price.</w:t>
      </w:r>
    </w:p>
    <w:p>
      <w:pPr>
        <w:pStyle w:val="ListParagraph"/>
        <w:numPr>
          <w:ilvl w:val="0"/>
          <w:numId w:val="3"/>
        </w:numPr>
        <w:spacing w:after="60"/>
      </w:pPr>
      <w:r>
        <w:rPr>
          <w:rFonts w:ascii="Calibri" w:cs="Calibri" w:eastAsia="Calibri" w:hAnsi="Calibri"/>
          <w:sz w:val="22"/>
          <w:szCs w:val="22"/>
        </w:rPr>
        <w:t xml:space="preserve">Regional analysis: leading and lagging regions, yield gaps and concentration of production.</w:t>
      </w:r>
    </w:p>
    <w:p>
      <w:pPr>
        <w:pStyle w:val="ListParagraph"/>
        <w:numPr>
          <w:ilvl w:val="0"/>
          <w:numId w:val="3"/>
        </w:numPr>
        <w:spacing w:after="60"/>
      </w:pPr>
      <w:r>
        <w:rPr>
          <w:rFonts w:ascii="Calibri" w:cs="Calibri" w:eastAsia="Calibri" w:hAnsi="Calibri"/>
          <w:sz w:val="22"/>
          <w:szCs w:val="22"/>
        </w:rPr>
        <w:t xml:space="preserve">Seasonal and time-series analysis: trends, seasonal indices and cycles.</w:t>
      </w:r>
    </w:p>
    <w:p>
      <w:pPr>
        <w:pStyle w:val="ListParagraph"/>
        <w:numPr>
          <w:ilvl w:val="0"/>
          <w:numId w:val="3"/>
        </w:numPr>
        <w:spacing w:after="60"/>
      </w:pPr>
      <w:r>
        <w:rPr>
          <w:rFonts w:ascii="Calibri" w:cs="Calibri" w:eastAsia="Calibri" w:hAnsi="Calibri"/>
          <w:sz w:val="22"/>
          <w:szCs w:val="22"/>
        </w:rPr>
        <w:t xml:space="preserve">Price analysis: volatility, price spreads between markets and links to arrivals.</w:t>
      </w:r>
    </w:p>
    <w:p>
      <w:pPr>
        <w:pStyle w:val="ListParagraph"/>
        <w:numPr>
          <w:ilvl w:val="0"/>
          <w:numId w:val="3"/>
        </w:numPr>
        <w:spacing w:after="60"/>
      </w:pPr>
      <w:r>
        <w:rPr>
          <w:rFonts w:ascii="Calibri" w:cs="Calibri" w:eastAsia="Calibri" w:hAnsi="Calibri"/>
          <w:sz w:val="22"/>
          <w:szCs w:val="22"/>
        </w:rPr>
        <w:t xml:space="preserve">Relationship analysis: correlations between weather, inputs, yield and price.</w:t>
      </w:r>
    </w:p>
    <w:p>
      <w:pPr>
        <w:pStyle w:val="ListParagraph"/>
        <w:numPr>
          <w:ilvl w:val="0"/>
          <w:numId w:val="3"/>
        </w:numPr>
        <w:spacing w:after="60"/>
      </w:pPr>
      <w:r>
        <w:rPr>
          <w:rFonts w:ascii="Calibri" w:cs="Calibri" w:eastAsia="Calibri" w:hAnsi="Calibri"/>
          <w:sz w:val="22"/>
          <w:szCs w:val="22"/>
        </w:rPr>
        <w:t xml:space="preserve">Anomaly findings: unusual observations and their explanation.</w:t>
      </w:r>
    </w:p>
    <w:p>
      <w:pPr>
        <w:pStyle w:val="Heading2"/>
        <w:spacing w:after="100" w:before="200"/>
      </w:pPr>
      <w:r>
        <w:rPr>
          <w:rFonts w:ascii="Calibri" w:cs="Calibri" w:eastAsia="Calibri" w:hAnsi="Calibri"/>
          <w:b/>
          <w:bCs/>
          <w:color w:val="1F4E24"/>
          <w:sz w:val="25"/>
          <w:szCs w:val="25"/>
        </w:rPr>
        <w:t xml:space="preserve">5.8 Key Insights and Interpretation</w:t>
      </w:r>
    </w:p>
    <w:p>
      <w:pPr>
        <w:spacing w:after="120" w:line="276"/>
      </w:pPr>
      <w:r>
        <w:rPr>
          <w:rFonts w:ascii="Calibri" w:cs="Calibri" w:eastAsia="Calibri" w:hAnsi="Calibri"/>
          <w:sz w:val="22"/>
          <w:szCs w:val="22"/>
        </w:rPr>
        <w:t xml:space="preserve">Translates statistical findings into business meaning, separating what the data shows from what it only suggests, with attention to correlation versus causation.</w:t>
      </w:r>
    </w:p>
    <w:p>
      <w:pPr>
        <w:pStyle w:val="Heading2"/>
        <w:spacing w:after="100" w:before="200"/>
      </w:pPr>
      <w:r>
        <w:rPr>
          <w:rFonts w:ascii="Calibri" w:cs="Calibri" w:eastAsia="Calibri" w:hAnsi="Calibri"/>
          <w:b/>
          <w:bCs/>
          <w:color w:val="1F4E24"/>
          <w:sz w:val="25"/>
          <w:szCs w:val="25"/>
        </w:rPr>
        <w:t xml:space="preserve">5.9 Recommendations</w:t>
      </w:r>
    </w:p>
    <w:p>
      <w:pPr>
        <w:pStyle w:val="ListParagraph"/>
        <w:numPr>
          <w:ilvl w:val="0"/>
          <w:numId w:val="2"/>
        </w:numPr>
        <w:spacing w:after="60"/>
      </w:pPr>
      <w:r>
        <w:rPr>
          <w:rFonts w:ascii="Calibri" w:cs="Calibri" w:eastAsia="Calibri" w:hAnsi="Calibri"/>
          <w:sz w:val="22"/>
          <w:szCs w:val="22"/>
        </w:rPr>
        <w:t xml:space="preserve">Farmers and cooperatives: crop selection, planting calendar and sale timing based on seasonal price patterns.</w:t>
      </w:r>
    </w:p>
    <w:p>
      <w:pPr>
        <w:pStyle w:val="ListParagraph"/>
        <w:numPr>
          <w:ilvl w:val="0"/>
          <w:numId w:val="2"/>
        </w:numPr>
        <w:spacing w:after="60"/>
      </w:pPr>
      <w:r>
        <w:rPr>
          <w:rFonts w:ascii="Calibri" w:cs="Calibri" w:eastAsia="Calibri" w:hAnsi="Calibri"/>
          <w:sz w:val="22"/>
          <w:szCs w:val="22"/>
        </w:rPr>
        <w:t xml:space="preserve">Traders and processors: procurement planning, storage decisions and risk hedging.</w:t>
      </w:r>
    </w:p>
    <w:p>
      <w:pPr>
        <w:pStyle w:val="ListParagraph"/>
        <w:numPr>
          <w:ilvl w:val="0"/>
          <w:numId w:val="2"/>
        </w:numPr>
        <w:spacing w:after="60"/>
      </w:pPr>
      <w:r>
        <w:rPr>
          <w:rFonts w:ascii="Calibri" w:cs="Calibri" w:eastAsia="Calibri" w:hAnsi="Calibri"/>
          <w:sz w:val="22"/>
          <w:szCs w:val="22"/>
        </w:rPr>
        <w:t xml:space="preserve">Policymakers: regional support, irrigation and input policy where yield gaps are widest.</w:t>
      </w:r>
    </w:p>
    <w:p>
      <w:pPr>
        <w:pStyle w:val="ListParagraph"/>
        <w:numPr>
          <w:ilvl w:val="0"/>
          <w:numId w:val="2"/>
        </w:numPr>
        <w:spacing w:after="60"/>
      </w:pPr>
      <w:r>
        <w:rPr>
          <w:rFonts w:ascii="Calibri" w:cs="Calibri" w:eastAsia="Calibri" w:hAnsi="Calibri"/>
          <w:sz w:val="22"/>
          <w:szCs w:val="22"/>
        </w:rPr>
        <w:t xml:space="preserve">Next analytical steps: forecasting models (ARIMA, Prophet, gradient boosting) built on the EDA findings.</w:t>
      </w:r>
    </w:p>
    <w:p>
      <w:pPr>
        <w:pStyle w:val="Heading2"/>
        <w:spacing w:after="100" w:before="200"/>
      </w:pPr>
      <w:r>
        <w:rPr>
          <w:rFonts w:ascii="Calibri" w:cs="Calibri" w:eastAsia="Calibri" w:hAnsi="Calibri"/>
          <w:b/>
          <w:bCs/>
          <w:color w:val="1F4E24"/>
          <w:sz w:val="25"/>
          <w:szCs w:val="25"/>
        </w:rPr>
        <w:t xml:space="preserve">5.10 Limitations and Future Work</w:t>
      </w:r>
    </w:p>
    <w:p>
      <w:pPr>
        <w:spacing w:after="120" w:line="276"/>
      </w:pPr>
      <w:r>
        <w:rPr>
          <w:rFonts w:ascii="Calibri" w:cs="Calibri" w:eastAsia="Calibri" w:hAnsi="Calibri"/>
          <w:sz w:val="22"/>
          <w:szCs w:val="22"/>
        </w:rPr>
        <w:t xml:space="preserve">Data gaps, possible biases, and ideas such as adding satellite imagery, soil data or real-time market feeds.</w:t>
      </w:r>
    </w:p>
    <w:p>
      <w:pPr>
        <w:pStyle w:val="Heading2"/>
        <w:spacing w:after="100" w:before="200"/>
      </w:pPr>
      <w:r>
        <w:rPr>
          <w:rFonts w:ascii="Calibri" w:cs="Calibri" w:eastAsia="Calibri" w:hAnsi="Calibri"/>
          <w:b/>
          <w:bCs/>
          <w:color w:val="1F4E24"/>
          <w:sz w:val="25"/>
          <w:szCs w:val="25"/>
        </w:rPr>
        <w:t xml:space="preserve">5.11 Appendix</w:t>
      </w:r>
    </w:p>
    <w:p>
      <w:pPr>
        <w:spacing w:after="120" w:line="276"/>
      </w:pPr>
      <w:r>
        <w:rPr>
          <w:rFonts w:ascii="Calibri" w:cs="Calibri" w:eastAsia="Calibri" w:hAnsi="Calibri"/>
          <w:sz w:val="22"/>
          <w:szCs w:val="22"/>
        </w:rPr>
        <w:t xml:space="preserve">Extra charts, code snippets, data dictionary and references to all data sources.</w:t>
      </w:r>
    </w:p>
    <w:p>
      <w:pPr>
        <w:pStyle w:val="Heading1"/>
        <w:spacing w:after="120" w:before="300"/>
      </w:pPr>
      <w:r>
        <w:rPr>
          <w:rFonts w:ascii="Calibri" w:cs="Calibri" w:eastAsia="Calibri" w:hAnsi="Calibri"/>
          <w:b/>
          <w:bCs/>
          <w:color w:val="2E6B34"/>
          <w:sz w:val="30"/>
          <w:szCs w:val="30"/>
        </w:rPr>
        <w:t xml:space="preserve">6. Handling Statistical Anomalies</w:t>
      </w:r>
    </w:p>
    <w:p>
      <w:pPr>
        <w:spacing w:after="120" w:line="276"/>
      </w:pPr>
      <w:r>
        <w:rPr>
          <w:rFonts w:ascii="Calibri" w:cs="Calibri" w:eastAsia="Calibri" w:hAnsi="Calibri"/>
          <w:sz w:val="22"/>
          <w:szCs w:val="22"/>
        </w:rPr>
        <w:t xml:space="preserve">An anomaly is an observation that deviates strongly from the expected pattern. In agribusiness, an anomaly can be a data error or a real and important event, so it must be investigated before it is treated.</w:t>
      </w:r>
    </w:p>
    <w:p>
      <w:pPr>
        <w:pStyle w:val="Heading2"/>
        <w:spacing w:after="100" w:before="200"/>
      </w:pPr>
      <w:r>
        <w:rPr>
          <w:rFonts w:ascii="Calibri" w:cs="Calibri" w:eastAsia="Calibri" w:hAnsi="Calibri"/>
          <w:b/>
          <w:bCs/>
          <w:color w:val="1F4E24"/>
          <w:sz w:val="25"/>
          <w:szCs w:val="25"/>
        </w:rPr>
        <w:t xml:space="preserve">6.1 Detection Methods</w:t>
      </w:r>
    </w:p>
    <w:p>
      <w:pPr>
        <w:pStyle w:val="ListParagraph"/>
        <w:numPr>
          <w:ilvl w:val="0"/>
          <w:numId w:val="2"/>
        </w:numPr>
        <w:spacing w:after="60"/>
      </w:pPr>
      <w:r>
        <w:rPr>
          <w:rFonts w:ascii="Calibri" w:cs="Calibri" w:eastAsia="Calibri" w:hAnsi="Calibri"/>
          <w:b/>
          <w:bCs/>
          <w:sz w:val="22"/>
          <w:szCs w:val="22"/>
        </w:rPr>
        <w:t xml:space="preserve">Visual: </w:t>
      </w:r>
      <w:r>
        <w:rPr>
          <w:rFonts w:ascii="Calibri" w:cs="Calibri" w:eastAsia="Calibri" w:hAnsi="Calibri"/>
          <w:b w:val="false"/>
          <w:bCs w:val="false"/>
          <w:sz w:val="22"/>
          <w:szCs w:val="22"/>
        </w:rPr>
        <w:t xml:space="preserve">box plots, histograms, scatter plots and time-series line plots.</w:t>
      </w:r>
    </w:p>
    <w:p>
      <w:pPr>
        <w:pStyle w:val="ListParagraph"/>
        <w:numPr>
          <w:ilvl w:val="0"/>
          <w:numId w:val="2"/>
        </w:numPr>
        <w:spacing w:after="60"/>
      </w:pPr>
      <w:r>
        <w:rPr>
          <w:rFonts w:ascii="Calibri" w:cs="Calibri" w:eastAsia="Calibri" w:hAnsi="Calibri"/>
          <w:b/>
          <w:bCs/>
          <w:sz w:val="22"/>
          <w:szCs w:val="22"/>
        </w:rPr>
        <w:t xml:space="preserve">IQR rule: </w:t>
      </w:r>
      <w:r>
        <w:rPr>
          <w:rFonts w:ascii="Calibri" w:cs="Calibri" w:eastAsia="Calibri" w:hAnsi="Calibri"/>
          <w:b w:val="false"/>
          <w:bCs w:val="false"/>
          <w:sz w:val="22"/>
          <w:szCs w:val="22"/>
        </w:rPr>
        <w:t xml:space="preserve">flag values below Q1 − 1.5×IQR or above Q3 + 1.5×IQR.</w:t>
      </w:r>
    </w:p>
    <w:p>
      <w:pPr>
        <w:pStyle w:val="ListParagraph"/>
        <w:numPr>
          <w:ilvl w:val="0"/>
          <w:numId w:val="2"/>
        </w:numPr>
        <w:spacing w:after="60"/>
      </w:pPr>
      <w:r>
        <w:rPr>
          <w:rFonts w:ascii="Calibri" w:cs="Calibri" w:eastAsia="Calibri" w:hAnsi="Calibri"/>
          <w:b/>
          <w:bCs/>
          <w:sz w:val="22"/>
          <w:szCs w:val="22"/>
        </w:rPr>
        <w:t xml:space="preserve">Z-score / modified z-score: </w:t>
      </w:r>
      <w:r>
        <w:rPr>
          <w:rFonts w:ascii="Calibri" w:cs="Calibri" w:eastAsia="Calibri" w:hAnsi="Calibri"/>
          <w:b w:val="false"/>
          <w:bCs w:val="false"/>
          <w:sz w:val="22"/>
          <w:szCs w:val="22"/>
        </w:rPr>
        <w:t xml:space="preserve">flag values beyond ±3 standard deviations (modified z-score for skewed data).</w:t>
      </w:r>
    </w:p>
    <w:p>
      <w:pPr>
        <w:pStyle w:val="ListParagraph"/>
        <w:numPr>
          <w:ilvl w:val="0"/>
          <w:numId w:val="2"/>
        </w:numPr>
        <w:spacing w:after="60"/>
      </w:pPr>
      <w:r>
        <w:rPr>
          <w:rFonts w:ascii="Calibri" w:cs="Calibri" w:eastAsia="Calibri" w:hAnsi="Calibri"/>
          <w:b/>
          <w:bCs/>
          <w:sz w:val="22"/>
          <w:szCs w:val="22"/>
        </w:rPr>
        <w:t xml:space="preserve">Time-series methods: </w:t>
      </w:r>
      <w:r>
        <w:rPr>
          <w:rFonts w:ascii="Calibri" w:cs="Calibri" w:eastAsia="Calibri" w:hAnsi="Calibri"/>
          <w:b w:val="false"/>
          <w:bCs w:val="false"/>
          <w:sz w:val="22"/>
          <w:szCs w:val="22"/>
        </w:rPr>
        <w:t xml:space="preserve">deviation from rolling mean or from the seasonal-decomposition residual.</w:t>
      </w:r>
    </w:p>
    <w:p>
      <w:pPr>
        <w:pStyle w:val="ListParagraph"/>
        <w:numPr>
          <w:ilvl w:val="0"/>
          <w:numId w:val="2"/>
        </w:numPr>
        <w:spacing w:after="60"/>
      </w:pPr>
      <w:r>
        <w:rPr>
          <w:rFonts w:ascii="Calibri" w:cs="Calibri" w:eastAsia="Calibri" w:hAnsi="Calibri"/>
          <w:b/>
          <w:bCs/>
          <w:sz w:val="22"/>
          <w:szCs w:val="22"/>
        </w:rPr>
        <w:t xml:space="preserve">Multivariate methods: </w:t>
      </w:r>
      <w:r>
        <w:rPr>
          <w:rFonts w:ascii="Calibri" w:cs="Calibri" w:eastAsia="Calibri" w:hAnsi="Calibri"/>
          <w:b w:val="false"/>
          <w:bCs w:val="false"/>
          <w:sz w:val="22"/>
          <w:szCs w:val="22"/>
        </w:rPr>
        <w:t xml:space="preserve">Isolation Forest or Local Outlier Factor for combinations of values that look unusual together.</w:t>
      </w:r>
    </w:p>
    <w:p>
      <w:pPr>
        <w:pStyle w:val="Heading2"/>
        <w:spacing w:after="100" w:before="200"/>
      </w:pPr>
      <w:r>
        <w:rPr>
          <w:rFonts w:ascii="Calibri" w:cs="Calibri" w:eastAsia="Calibri" w:hAnsi="Calibri"/>
          <w:b/>
          <w:bCs/>
          <w:color w:val="1F4E24"/>
          <w:sz w:val="25"/>
          <w:szCs w:val="25"/>
        </w:rPr>
        <w:t xml:space="preserve">6.2 Decision Process for Each Anomaly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026"/>
      </w:tblGrid>
      <w:tr>
        <w:trPr>
          <w:tblHeader/>
        </w:trPr>
        <w:tc>
          <w:tcPr>
            <w:tcW w:type="dxa" w:w="2700"/>
            <w:tcBorders>
              <w:top w:val="single" w:color="9DB89F" w:sz="4"/>
              <w:left w:val="single" w:color="9DB89F" w:sz="4"/>
              <w:bottom w:val="single" w:color="9DB89F" w:sz="4"/>
              <w:right w:val="single" w:color="9DB89F" w:sz="4"/>
            </w:tcBorders>
            <w:shd w:fill="2E6B34" w:color="auto" w:val="clear"/>
            <w:tcMar>
              <w:top w:type="dxa" w:w="70"/>
              <w:left w:type="dxa" w:w="100"/>
              <w:bottom w:type="dxa" w:w="70"/>
              <w:right w:type="dxa" w:w="100"/>
            </w:tcMar>
          </w:tcPr>
          <w:p>
            <w:r>
              <w:rPr>
                <w:rFonts w:ascii="Calibri" w:cs="Calibri" w:eastAsia="Calibri" w:hAnsi="Calibri"/>
                <w:b/>
                <w:bCs/>
                <w:color w:val="FFFFFF"/>
                <w:sz w:val="20"/>
                <w:szCs w:val="20"/>
              </w:rPr>
              <w:t xml:space="preserve">Case</w:t>
            </w:r>
          </w:p>
        </w:tc>
        <w:tc>
          <w:tcPr>
            <w:tcW w:type="dxa" w:w="3300"/>
            <w:tcBorders>
              <w:top w:val="single" w:color="9DB89F" w:sz="4"/>
              <w:left w:val="single" w:color="9DB89F" w:sz="4"/>
              <w:bottom w:val="single" w:color="9DB89F" w:sz="4"/>
              <w:right w:val="single" w:color="9DB89F" w:sz="4"/>
            </w:tcBorders>
            <w:shd w:fill="2E6B34" w:color="auto" w:val="clear"/>
            <w:tcMar>
              <w:top w:type="dxa" w:w="70"/>
              <w:left w:type="dxa" w:w="100"/>
              <w:bottom w:type="dxa" w:w="70"/>
              <w:right w:type="dxa" w:w="100"/>
            </w:tcMar>
          </w:tcPr>
          <w:p>
            <w:r>
              <w:rPr>
                <w:rFonts w:ascii="Calibri" w:cs="Calibri" w:eastAsia="Calibri" w:hAnsi="Calibri"/>
                <w:b/>
                <w:bCs/>
                <w:color w:val="FFFFFF"/>
                <w:sz w:val="20"/>
                <w:szCs w:val="20"/>
              </w:rPr>
              <w:t xml:space="preserve">Test</w:t>
            </w:r>
          </w:p>
        </w:tc>
        <w:tc>
          <w:tcPr>
            <w:tcW w:type="dxa" w:w="3026"/>
            <w:tcBorders>
              <w:top w:val="single" w:color="9DB89F" w:sz="4"/>
              <w:left w:val="single" w:color="9DB89F" w:sz="4"/>
              <w:bottom w:val="single" w:color="9DB89F" w:sz="4"/>
              <w:right w:val="single" w:color="9DB89F" w:sz="4"/>
            </w:tcBorders>
            <w:shd w:fill="2E6B34" w:color="auto" w:val="clear"/>
            <w:tcMar>
              <w:top w:type="dxa" w:w="70"/>
              <w:left w:type="dxa" w:w="100"/>
              <w:bottom w:type="dxa" w:w="70"/>
              <w:right w:type="dxa" w:w="100"/>
            </w:tcMar>
          </w:tcPr>
          <w:p>
            <w:r>
              <w:rPr>
                <w:rFonts w:ascii="Calibri" w:cs="Calibri" w:eastAsia="Calibri" w:hAnsi="Calibri"/>
                <w:b/>
                <w:bCs/>
                <w:color w:val="FFFFFF"/>
                <w:sz w:val="20"/>
                <w:szCs w:val="20"/>
              </w:rPr>
              <w:t xml:space="preserve">Action</w:t>
            </w:r>
          </w:p>
        </w:tc>
      </w:tr>
      <w:tr>
        <w:tc>
          <w:tcPr>
            <w:tcW w:type="dxa" w:w="27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Data or entry error</w:t>
            </w:r>
          </w:p>
        </w:tc>
        <w:tc>
          <w:tcPr>
            <w:tcW w:type="dxa" w:w="33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Impossible value (e.g. negative price, yield of 300 t/ha) or unit mistake</w:t>
            </w:r>
          </w:p>
        </w:tc>
        <w:tc>
          <w:tcPr>
            <w:tcW w:type="dxa" w:w="3026"/>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Correct from the source; otherwise set to missing and impute</w:t>
            </w:r>
          </w:p>
        </w:tc>
      </w:tr>
      <w:tr>
        <w:tc>
          <w:tcPr>
            <w:tcW w:type="dxa" w:w="27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Genuine extreme event</w:t>
            </w:r>
          </w:p>
        </w:tc>
        <w:tc>
          <w:tcPr>
            <w:tcW w:type="dxa" w:w="33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Matches a known drought, flood, festival demand or policy change</w:t>
            </w:r>
          </w:p>
        </w:tc>
        <w:tc>
          <w:tcPr>
            <w:tcW w:type="dxa" w:w="3026"/>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Keep, flag with an event label and annotate in charts</w:t>
            </w:r>
          </w:p>
        </w:tc>
      </w:tr>
      <w:tr>
        <w:tc>
          <w:tcPr>
            <w:tcW w:type="dxa" w:w="27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Extreme but valid, distorting statistics</w:t>
            </w:r>
          </w:p>
        </w:tc>
        <w:tc>
          <w:tcPr>
            <w:tcW w:type="dxa" w:w="33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Skewed values that dominate averages</w:t>
            </w:r>
          </w:p>
        </w:tc>
        <w:tc>
          <w:tcPr>
            <w:tcW w:type="dxa" w:w="3026"/>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Use median, log transform or cap (winsorise); report both versions</w:t>
            </w:r>
          </w:p>
        </w:tc>
      </w:tr>
      <w:tr>
        <w:tc>
          <w:tcPr>
            <w:tcW w:type="dxa" w:w="27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Unexplained</w:t>
            </w:r>
          </w:p>
        </w:tc>
        <w:tc>
          <w:tcPr>
            <w:tcW w:type="dxa" w:w="33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Cannot be verified</w:t>
            </w:r>
          </w:p>
        </w:tc>
        <w:tc>
          <w:tcPr>
            <w:tcW w:type="dxa" w:w="3026"/>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Run analysis with and without it and report the difference</w:t>
            </w:r>
          </w:p>
        </w:tc>
      </w:tr>
    </w:tbl>
    <w:p>
      <w:pPr>
        <w:spacing w:after="120"/>
      </w:pPr>
    </w:p>
    <w:p>
      <w:pPr>
        <w:spacing w:after="120" w:line="276"/>
      </w:pPr>
      <w:r>
        <w:rPr>
          <w:rFonts w:ascii="Calibri" w:cs="Calibri" w:eastAsia="Calibri" w:hAnsi="Calibri"/>
          <w:sz w:val="22"/>
          <w:szCs w:val="22"/>
        </w:rPr>
        <w:t xml:space="preserve">Every decision is recorded in an anomaly log so that the treatment is transparent and reproducible.</w:t>
      </w:r>
    </w:p>
    <w:p>
      <w:pPr>
        <w:pStyle w:val="Heading1"/>
        <w:spacing w:after="120" w:before="300"/>
      </w:pPr>
      <w:r>
        <w:rPr>
          <w:rFonts w:ascii="Calibri" w:cs="Calibri" w:eastAsia="Calibri" w:hAnsi="Calibri"/>
          <w:b/>
          <w:bCs/>
          <w:color w:val="2E6B34"/>
          <w:sz w:val="30"/>
          <w:szCs w:val="30"/>
        </w:rPr>
        <w:t xml:space="preserve">7. Handling Feature Correlations</w:t>
      </w:r>
    </w:p>
    <w:p>
      <w:pPr>
        <w:pStyle w:val="Heading2"/>
        <w:spacing w:after="100" w:before="200"/>
      </w:pPr>
      <w:r>
        <w:rPr>
          <w:rFonts w:ascii="Calibri" w:cs="Calibri" w:eastAsia="Calibri" w:hAnsi="Calibri"/>
          <w:b/>
          <w:bCs/>
          <w:color w:val="1F4E24"/>
          <w:sz w:val="25"/>
          <w:szCs w:val="25"/>
        </w:rPr>
        <w:t xml:space="preserve">7.1 Measuring Correlation</w:t>
      </w:r>
    </w:p>
    <w:p>
      <w:pPr>
        <w:pStyle w:val="ListParagraph"/>
        <w:numPr>
          <w:ilvl w:val="0"/>
          <w:numId w:val="2"/>
        </w:numPr>
        <w:spacing w:after="60"/>
      </w:pPr>
      <w:r>
        <w:rPr>
          <w:rFonts w:ascii="Calibri" w:cs="Calibri" w:eastAsia="Calibri" w:hAnsi="Calibri"/>
          <w:b/>
          <w:bCs/>
          <w:sz w:val="22"/>
          <w:szCs w:val="22"/>
        </w:rPr>
        <w:t xml:space="preserve">Pearson correlation: </w:t>
      </w:r>
      <w:r>
        <w:rPr>
          <w:rFonts w:ascii="Calibri" w:cs="Calibri" w:eastAsia="Calibri" w:hAnsi="Calibri"/>
          <w:b w:val="false"/>
          <w:bCs w:val="false"/>
          <w:sz w:val="22"/>
          <w:szCs w:val="22"/>
        </w:rPr>
        <w:t xml:space="preserve">linear relationships between continuous variables such as rainfall and yield.</w:t>
      </w:r>
    </w:p>
    <w:p>
      <w:pPr>
        <w:pStyle w:val="ListParagraph"/>
        <w:numPr>
          <w:ilvl w:val="0"/>
          <w:numId w:val="2"/>
        </w:numPr>
        <w:spacing w:after="60"/>
      </w:pPr>
      <w:r>
        <w:rPr>
          <w:rFonts w:ascii="Calibri" w:cs="Calibri" w:eastAsia="Calibri" w:hAnsi="Calibri"/>
          <w:b/>
          <w:bCs/>
          <w:sz w:val="22"/>
          <w:szCs w:val="22"/>
        </w:rPr>
        <w:t xml:space="preserve">Spearman rank correlation: </w:t>
      </w:r>
      <w:r>
        <w:rPr>
          <w:rFonts w:ascii="Calibri" w:cs="Calibri" w:eastAsia="Calibri" w:hAnsi="Calibri"/>
          <w:b w:val="false"/>
          <w:bCs w:val="false"/>
          <w:sz w:val="22"/>
          <w:szCs w:val="22"/>
        </w:rPr>
        <w:t xml:space="preserve">monotonic or non-linear relationships and data with outliers.</w:t>
      </w:r>
    </w:p>
    <w:p>
      <w:pPr>
        <w:pStyle w:val="ListParagraph"/>
        <w:numPr>
          <w:ilvl w:val="0"/>
          <w:numId w:val="2"/>
        </w:numPr>
        <w:spacing w:after="60"/>
      </w:pPr>
      <w:r>
        <w:rPr>
          <w:rFonts w:ascii="Calibri" w:cs="Calibri" w:eastAsia="Calibri" w:hAnsi="Calibri"/>
          <w:b/>
          <w:bCs/>
          <w:sz w:val="22"/>
          <w:szCs w:val="22"/>
        </w:rPr>
        <w:t xml:space="preserve">Categorical association: </w:t>
      </w:r>
      <w:r>
        <w:rPr>
          <w:rFonts w:ascii="Calibri" w:cs="Calibri" w:eastAsia="Calibri" w:hAnsi="Calibri"/>
          <w:b w:val="false"/>
          <w:bCs w:val="false"/>
          <w:sz w:val="22"/>
          <w:szCs w:val="22"/>
        </w:rPr>
        <w:t xml:space="preserve">Cramér's V or chi-square test for variables like crop type and season; ANOVA or Kruskal-Wallis for numeric vs category.</w:t>
      </w:r>
    </w:p>
    <w:p>
      <w:pPr>
        <w:pStyle w:val="ListParagraph"/>
        <w:numPr>
          <w:ilvl w:val="0"/>
          <w:numId w:val="2"/>
        </w:numPr>
        <w:spacing w:after="60"/>
      </w:pPr>
      <w:r>
        <w:rPr>
          <w:rFonts w:ascii="Calibri" w:cs="Calibri" w:eastAsia="Calibri" w:hAnsi="Calibri"/>
          <w:b/>
          <w:bCs/>
          <w:sz w:val="22"/>
          <w:szCs w:val="22"/>
        </w:rPr>
        <w:t xml:space="preserve">Lagged correlation: </w:t>
      </w:r>
      <w:r>
        <w:rPr>
          <w:rFonts w:ascii="Calibri" w:cs="Calibri" w:eastAsia="Calibri" w:hAnsi="Calibri"/>
          <w:b w:val="false"/>
          <w:bCs w:val="false"/>
          <w:sz w:val="22"/>
          <w:szCs w:val="22"/>
        </w:rPr>
        <w:t xml:space="preserve">links weather or arrivals in earlier months to later prices.</w:t>
      </w:r>
    </w:p>
    <w:p>
      <w:pPr>
        <w:pStyle w:val="Heading2"/>
        <w:spacing w:after="100" w:before="200"/>
      </w:pPr>
      <w:r>
        <w:rPr>
          <w:rFonts w:ascii="Calibri" w:cs="Calibri" w:eastAsia="Calibri" w:hAnsi="Calibri"/>
          <w:b/>
          <w:bCs/>
          <w:color w:val="1F4E24"/>
          <w:sz w:val="25"/>
          <w:szCs w:val="25"/>
        </w:rPr>
        <w:t xml:space="preserve">7.2 Interpreting and Acting on Correlations</w:t>
      </w:r>
    </w:p>
    <w:p>
      <w:pPr>
        <w:pStyle w:val="ListParagraph"/>
        <w:numPr>
          <w:ilvl w:val="0"/>
          <w:numId w:val="2"/>
        </w:numPr>
        <w:spacing w:after="60"/>
      </w:pPr>
      <w:r>
        <w:rPr>
          <w:rFonts w:ascii="Calibri" w:cs="Calibri" w:eastAsia="Calibri" w:hAnsi="Calibri"/>
          <w:sz w:val="22"/>
          <w:szCs w:val="22"/>
        </w:rPr>
        <w:t xml:space="preserve">Visualise with a correlation heat map and scatter plots to confirm patterns are not driven by a few points.</w:t>
      </w:r>
    </w:p>
    <w:p>
      <w:pPr>
        <w:pStyle w:val="ListParagraph"/>
        <w:numPr>
          <w:ilvl w:val="0"/>
          <w:numId w:val="2"/>
        </w:numPr>
        <w:spacing w:after="60"/>
      </w:pPr>
      <w:r>
        <w:rPr>
          <w:rFonts w:ascii="Calibri" w:cs="Calibri" w:eastAsia="Calibri" w:hAnsi="Calibri"/>
          <w:sz w:val="22"/>
          <w:szCs w:val="22"/>
        </w:rPr>
        <w:t xml:space="preserve">Treat correlation as association, not proof of cause: for example, high fertiliser use and high yield may both be driven by irrigation.</w:t>
      </w:r>
    </w:p>
    <w:p>
      <w:pPr>
        <w:pStyle w:val="ListParagraph"/>
        <w:numPr>
          <w:ilvl w:val="0"/>
          <w:numId w:val="2"/>
        </w:numPr>
        <w:spacing w:after="60"/>
      </w:pPr>
      <w:r>
        <w:rPr>
          <w:rFonts w:ascii="Calibri" w:cs="Calibri" w:eastAsia="Calibri" w:hAnsi="Calibri"/>
          <w:sz w:val="22"/>
          <w:szCs w:val="22"/>
        </w:rPr>
        <w:t xml:space="preserve">Check statistical significance (p-values and confidence intervals) and effect size.</w:t>
      </w:r>
    </w:p>
    <w:p>
      <w:pPr>
        <w:pStyle w:val="ListParagraph"/>
        <w:numPr>
          <w:ilvl w:val="0"/>
          <w:numId w:val="2"/>
        </w:numPr>
        <w:spacing w:after="60"/>
      </w:pPr>
      <w:r>
        <w:rPr>
          <w:rFonts w:ascii="Calibri" w:cs="Calibri" w:eastAsia="Calibri" w:hAnsi="Calibri"/>
          <w:sz w:val="22"/>
          <w:szCs w:val="22"/>
        </w:rPr>
        <w:t xml:space="preserve">Identify multicollinearity: where two features are highly correlated (for example above 0.8 to 0.9), compute the Variance Inflation Factor (VIF) and keep the more meaningful variable, combine them, or use regularisation or PCA.</w:t>
      </w:r>
    </w:p>
    <w:p>
      <w:pPr>
        <w:pStyle w:val="ListParagraph"/>
        <w:numPr>
          <w:ilvl w:val="0"/>
          <w:numId w:val="2"/>
        </w:numPr>
        <w:spacing w:after="60"/>
      </w:pPr>
      <w:r>
        <w:rPr>
          <w:rFonts w:ascii="Calibri" w:cs="Calibri" w:eastAsia="Calibri" w:hAnsi="Calibri"/>
          <w:sz w:val="22"/>
          <w:szCs w:val="22"/>
        </w:rPr>
        <w:t xml:space="preserve">Watch for spurious correlation in trending time-series by correlating differenced or detrended data.</w:t>
      </w:r>
    </w:p>
    <w:p>
      <w:pPr>
        <w:pStyle w:val="ListParagraph"/>
        <w:numPr>
          <w:ilvl w:val="0"/>
          <w:numId w:val="2"/>
        </w:numPr>
        <w:spacing w:after="60"/>
      </w:pPr>
      <w:r>
        <w:rPr>
          <w:rFonts w:ascii="Calibri" w:cs="Calibri" w:eastAsia="Calibri" w:hAnsi="Calibri"/>
          <w:sz w:val="22"/>
          <w:szCs w:val="22"/>
        </w:rPr>
        <w:t xml:space="preserve">Use correlation results to select features for later forecasting models.</w:t>
      </w:r>
    </w:p>
    <w:p>
      <w:pPr>
        <w:pStyle w:val="Heading1"/>
        <w:spacing w:after="120" w:before="300"/>
      </w:pPr>
      <w:r>
        <w:rPr>
          <w:rFonts w:ascii="Calibri" w:cs="Calibri" w:eastAsia="Calibri" w:hAnsi="Calibri"/>
          <w:b/>
          <w:bCs/>
          <w:color w:val="2E6B34"/>
          <w:sz w:val="30"/>
          <w:szCs w:val="30"/>
        </w:rPr>
        <w:t xml:space="preserve">8. Expected Outcomes of the EDA Process</w:t>
      </w:r>
    </w:p>
    <w:p>
      <w:pPr>
        <w:pStyle w:val="ListParagraph"/>
        <w:numPr>
          <w:ilvl w:val="0"/>
          <w:numId w:val="2"/>
        </w:numPr>
        <w:spacing w:after="60"/>
      </w:pPr>
      <w:r>
        <w:rPr>
          <w:rFonts w:ascii="Calibri" w:cs="Calibri" w:eastAsia="Calibri" w:hAnsi="Calibri"/>
          <w:sz w:val="22"/>
          <w:szCs w:val="22"/>
        </w:rPr>
        <w:t xml:space="preserve">A verified, well-understood dataset with documented quality issues and treatments.</w:t>
      </w:r>
    </w:p>
    <w:p>
      <w:pPr>
        <w:pStyle w:val="ListParagraph"/>
        <w:numPr>
          <w:ilvl w:val="0"/>
          <w:numId w:val="2"/>
        </w:numPr>
        <w:spacing w:after="60"/>
      </w:pPr>
      <w:r>
        <w:rPr>
          <w:rFonts w:ascii="Calibri" w:cs="Calibri" w:eastAsia="Calibri" w:hAnsi="Calibri"/>
          <w:sz w:val="22"/>
          <w:szCs w:val="22"/>
        </w:rPr>
        <w:t xml:space="preserve">Clear identification of top-producing and underperforming regions and crops.</w:t>
      </w:r>
    </w:p>
    <w:p>
      <w:pPr>
        <w:pStyle w:val="ListParagraph"/>
        <w:numPr>
          <w:ilvl w:val="0"/>
          <w:numId w:val="2"/>
        </w:numPr>
        <w:spacing w:after="60"/>
      </w:pPr>
      <w:r>
        <w:rPr>
          <w:rFonts w:ascii="Calibri" w:cs="Calibri" w:eastAsia="Calibri" w:hAnsi="Calibri"/>
          <w:sz w:val="22"/>
          <w:szCs w:val="22"/>
        </w:rPr>
        <w:t xml:space="preserve">Quantified seasonal cycles and price trends, including best and worst timing for selling.</w:t>
      </w:r>
    </w:p>
    <w:p>
      <w:pPr>
        <w:pStyle w:val="ListParagraph"/>
        <w:numPr>
          <w:ilvl w:val="0"/>
          <w:numId w:val="2"/>
        </w:numPr>
        <w:spacing w:after="60"/>
      </w:pPr>
      <w:r>
        <w:rPr>
          <w:rFonts w:ascii="Calibri" w:cs="Calibri" w:eastAsia="Calibri" w:hAnsi="Calibri"/>
          <w:sz w:val="22"/>
          <w:szCs w:val="22"/>
        </w:rPr>
        <w:t xml:space="preserve">A ranked list of the factors most strongly associated with yield and price.</w:t>
      </w:r>
    </w:p>
    <w:p>
      <w:pPr>
        <w:pStyle w:val="ListParagraph"/>
        <w:numPr>
          <w:ilvl w:val="0"/>
          <w:numId w:val="2"/>
        </w:numPr>
        <w:spacing w:after="60"/>
      </w:pPr>
      <w:r>
        <w:rPr>
          <w:rFonts w:ascii="Calibri" w:cs="Calibri" w:eastAsia="Calibri" w:hAnsi="Calibri"/>
          <w:sz w:val="22"/>
          <w:szCs w:val="22"/>
        </w:rPr>
        <w:t xml:space="preserve">A documented list of anomalies with explanations.</w:t>
      </w:r>
    </w:p>
    <w:p>
      <w:pPr>
        <w:pStyle w:val="ListParagraph"/>
        <w:numPr>
          <w:ilvl w:val="0"/>
          <w:numId w:val="2"/>
        </w:numPr>
        <w:spacing w:after="60"/>
      </w:pPr>
      <w:r>
        <w:rPr>
          <w:rFonts w:ascii="Calibri" w:cs="Calibri" w:eastAsia="Calibri" w:hAnsi="Calibri"/>
          <w:sz w:val="22"/>
          <w:szCs w:val="22"/>
        </w:rPr>
        <w:t xml:space="preserve">A set of visuals and a dashboard suitable for presentation to stakeholders.</w:t>
      </w:r>
    </w:p>
    <w:p>
      <w:pPr>
        <w:pStyle w:val="ListParagraph"/>
        <w:numPr>
          <w:ilvl w:val="0"/>
          <w:numId w:val="2"/>
        </w:numPr>
        <w:spacing w:after="60"/>
      </w:pPr>
      <w:r>
        <w:rPr>
          <w:rFonts w:ascii="Calibri" w:cs="Calibri" w:eastAsia="Calibri" w:hAnsi="Calibri"/>
          <w:sz w:val="22"/>
          <w:szCs w:val="22"/>
        </w:rPr>
        <w:t xml:space="preserve">Actionable recommendations and a shortlist of hypotheses for forecasting models.</w:t>
      </w:r>
    </w:p>
    <w:p>
      <w:pPr>
        <w:pStyle w:val="Heading1"/>
        <w:spacing w:after="120" w:before="300"/>
      </w:pPr>
      <w:r>
        <w:rPr>
          <w:rFonts w:ascii="Calibri" w:cs="Calibri" w:eastAsia="Calibri" w:hAnsi="Calibri"/>
          <w:b/>
          <w:bCs/>
          <w:color w:val="2E6B34"/>
          <w:sz w:val="30"/>
          <w:szCs w:val="30"/>
        </w:rPr>
        <w:t xml:space="preserve">9. Suggested Workflow and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226"/>
      </w:tblGrid>
      <w:tr>
        <w:trPr>
          <w:tblHeader/>
        </w:trPr>
        <w:tc>
          <w:tcPr>
            <w:tcW w:type="dxa" w:w="1500"/>
            <w:tcBorders>
              <w:top w:val="single" w:color="9DB89F" w:sz="4"/>
              <w:left w:val="single" w:color="9DB89F" w:sz="4"/>
              <w:bottom w:val="single" w:color="9DB89F" w:sz="4"/>
              <w:right w:val="single" w:color="9DB89F" w:sz="4"/>
            </w:tcBorders>
            <w:shd w:fill="2E6B34" w:color="auto" w:val="clear"/>
            <w:tcMar>
              <w:top w:type="dxa" w:w="70"/>
              <w:left w:type="dxa" w:w="100"/>
              <w:bottom w:type="dxa" w:w="70"/>
              <w:right w:type="dxa" w:w="100"/>
            </w:tcMar>
          </w:tcPr>
          <w:p>
            <w:r>
              <w:rPr>
                <w:rFonts w:ascii="Calibri" w:cs="Calibri" w:eastAsia="Calibri" w:hAnsi="Calibri"/>
                <w:b/>
                <w:bCs/>
                <w:color w:val="FFFFFF"/>
                <w:sz w:val="20"/>
                <w:szCs w:val="20"/>
              </w:rPr>
              <w:t xml:space="preserve">Stage</w:t>
            </w:r>
          </w:p>
        </w:tc>
        <w:tc>
          <w:tcPr>
            <w:tcW w:type="dxa" w:w="4300"/>
            <w:tcBorders>
              <w:top w:val="single" w:color="9DB89F" w:sz="4"/>
              <w:left w:val="single" w:color="9DB89F" w:sz="4"/>
              <w:bottom w:val="single" w:color="9DB89F" w:sz="4"/>
              <w:right w:val="single" w:color="9DB89F" w:sz="4"/>
            </w:tcBorders>
            <w:shd w:fill="2E6B34" w:color="auto" w:val="clear"/>
            <w:tcMar>
              <w:top w:type="dxa" w:w="70"/>
              <w:left w:type="dxa" w:w="100"/>
              <w:bottom w:type="dxa" w:w="70"/>
              <w:right w:type="dxa" w:w="100"/>
            </w:tcMar>
          </w:tcPr>
          <w:p>
            <w:r>
              <w:rPr>
                <w:rFonts w:ascii="Calibri" w:cs="Calibri" w:eastAsia="Calibri" w:hAnsi="Calibri"/>
                <w:b/>
                <w:bCs/>
                <w:color w:val="FFFFFF"/>
                <w:sz w:val="20"/>
                <w:szCs w:val="20"/>
              </w:rPr>
              <w:t xml:space="preserve">Activities</w:t>
            </w:r>
          </w:p>
        </w:tc>
        <w:tc>
          <w:tcPr>
            <w:tcW w:type="dxa" w:w="3226"/>
            <w:tcBorders>
              <w:top w:val="single" w:color="9DB89F" w:sz="4"/>
              <w:left w:val="single" w:color="9DB89F" w:sz="4"/>
              <w:bottom w:val="single" w:color="9DB89F" w:sz="4"/>
              <w:right w:val="single" w:color="9DB89F" w:sz="4"/>
            </w:tcBorders>
            <w:shd w:fill="2E6B34" w:color="auto" w:val="clear"/>
            <w:tcMar>
              <w:top w:type="dxa" w:w="70"/>
              <w:left w:type="dxa" w:w="100"/>
              <w:bottom w:type="dxa" w:w="70"/>
              <w:right w:type="dxa" w:w="100"/>
            </w:tcMar>
          </w:tcPr>
          <w:p>
            <w:r>
              <w:rPr>
                <w:rFonts w:ascii="Calibri" w:cs="Calibri" w:eastAsia="Calibri" w:hAnsi="Calibri"/>
                <w:b/>
                <w:bCs/>
                <w:color w:val="FFFFFF"/>
                <w:sz w:val="20"/>
                <w:szCs w:val="20"/>
              </w:rPr>
              <w:t xml:space="preserve">Output</w:t>
            </w:r>
          </w:p>
        </w:tc>
      </w:tr>
      <w:tr>
        <w:tc>
          <w:tcPr>
            <w:tcW w:type="dxa" w:w="15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Stage 1</w:t>
            </w:r>
          </w:p>
        </w:tc>
        <w:tc>
          <w:tcPr>
            <w:tcW w:type="dxa" w:w="43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Load cleaned data, create data overview and summary statistics</w:t>
            </w:r>
          </w:p>
        </w:tc>
        <w:tc>
          <w:tcPr>
            <w:tcW w:type="dxa" w:w="3226"/>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Data profile</w:t>
            </w:r>
          </w:p>
        </w:tc>
      </w:tr>
      <w:tr>
        <w:tc>
          <w:tcPr>
            <w:tcW w:type="dxa" w:w="15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Stage 2</w:t>
            </w:r>
          </w:p>
        </w:tc>
        <w:tc>
          <w:tcPr>
            <w:tcW w:type="dxa" w:w="43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Univariate and bivariate analysis with charts</w:t>
            </w:r>
          </w:p>
        </w:tc>
        <w:tc>
          <w:tcPr>
            <w:tcW w:type="dxa" w:w="3226"/>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Distribution and relationship findings</w:t>
            </w:r>
          </w:p>
        </w:tc>
      </w:tr>
      <w:tr>
        <w:tc>
          <w:tcPr>
            <w:tcW w:type="dxa" w:w="15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Stage 3</w:t>
            </w:r>
          </w:p>
        </w:tc>
        <w:tc>
          <w:tcPr>
            <w:tcW w:type="dxa" w:w="43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Time-series, seasonal and regional analysis</w:t>
            </w:r>
          </w:p>
        </w:tc>
        <w:tc>
          <w:tcPr>
            <w:tcW w:type="dxa" w:w="3226"/>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Trend and seasonality insights</w:t>
            </w:r>
          </w:p>
        </w:tc>
      </w:tr>
      <w:tr>
        <w:tc>
          <w:tcPr>
            <w:tcW w:type="dxa" w:w="15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Stage 4</w:t>
            </w:r>
          </w:p>
        </w:tc>
        <w:tc>
          <w:tcPr>
            <w:tcW w:type="dxa" w:w="43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Anomaly detection and correlation analysis</w:t>
            </w:r>
          </w:p>
        </w:tc>
        <w:tc>
          <w:tcPr>
            <w:tcW w:type="dxa" w:w="3226"/>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Anomaly log, correlation report</w:t>
            </w:r>
          </w:p>
        </w:tc>
      </w:tr>
      <w:tr>
        <w:tc>
          <w:tcPr>
            <w:tcW w:type="dxa" w:w="15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Stage 5</w:t>
            </w:r>
          </w:p>
        </w:tc>
        <w:tc>
          <w:tcPr>
            <w:tcW w:type="dxa" w:w="43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Interpret insights, write report sections and recommendations</w:t>
            </w:r>
          </w:p>
        </w:tc>
        <w:tc>
          <w:tcPr>
            <w:tcW w:type="dxa" w:w="3226"/>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Draft EDA report</w:t>
            </w:r>
          </w:p>
        </w:tc>
      </w:tr>
      <w:tr>
        <w:tc>
          <w:tcPr>
            <w:tcW w:type="dxa" w:w="15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Stage 6</w:t>
            </w:r>
          </w:p>
        </w:tc>
        <w:tc>
          <w:tcPr>
            <w:tcW w:type="dxa" w:w="4300"/>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Review, refine visuals, build dashboard and finalise</w:t>
            </w:r>
          </w:p>
        </w:tc>
        <w:tc>
          <w:tcPr>
            <w:tcW w:type="dxa" w:w="3226"/>
            <w:tcBorders>
              <w:top w:val="single" w:color="9DB89F" w:sz="4"/>
              <w:left w:val="single" w:color="9DB89F" w:sz="4"/>
              <w:bottom w:val="single" w:color="9DB89F" w:sz="4"/>
              <w:right w:val="single" w:color="9DB89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Final EDA report and dashboard</w:t>
            </w:r>
          </w:p>
        </w:tc>
      </w:tr>
    </w:tbl>
    <w:p>
      <w:pPr>
        <w:spacing w:after="120"/>
      </w:pPr>
    </w:p>
    <w:p>
      <w:pPr>
        <w:pStyle w:val="Heading1"/>
        <w:spacing w:after="120" w:before="300"/>
      </w:pPr>
      <w:r>
        <w:rPr>
          <w:rFonts w:ascii="Calibri" w:cs="Calibri" w:eastAsia="Calibri" w:hAnsi="Calibri"/>
          <w:b/>
          <w:bCs/>
          <w:color w:val="2E6B34"/>
          <w:sz w:val="30"/>
          <w:szCs w:val="30"/>
        </w:rPr>
        <w:t xml:space="preserve">10. Conclusion</w:t>
      </w:r>
    </w:p>
    <w:p>
      <w:pPr>
        <w:spacing w:after="120" w:line="276"/>
      </w:pPr>
      <w:r>
        <w:rPr>
          <w:rFonts w:ascii="Calibri" w:cs="Calibri" w:eastAsia="Calibri" w:hAnsi="Calibri"/>
          <w:sz w:val="22"/>
          <w:szCs w:val="22"/>
        </w:rPr>
        <w:t xml:space="preserve">This document provides a detailed and realistic outline for an EDA report on agribusiness trends. It lists the variables and metrics that matter, the analyses and visualisation techniques to be used, the full structure of the final report from the executive summary to the recommendations, and the approach for handling statistical anomalies and feature correlations. Following this design will turn raw agricultural data into clear, evidence-based insights that support better decisions across the agribusiness value chain.</w:t>
      </w:r>
    </w:p>
    <w:p>
      <w:pPr>
        <w:spacing w:after="120"/>
      </w:pPr>
    </w:p>
    <w:p>
      <w:pPr>
        <w:spacing w:after="120" w:line="276"/>
        <w:rPr>
          <w:b/>
          <w:bCs/>
        </w:rPr>
      </w:pPr>
      <w:r>
        <w:rPr>
          <w:rFonts w:ascii="Calibri" w:cs="Calibri" w:eastAsia="Calibri" w:hAnsi="Calibri"/>
          <w:b/>
          <w:bCs/>
          <w:sz w:val="22"/>
          <w:szCs w:val="22"/>
        </w:rPr>
        <w:t xml:space="preserve">Prepared by: Palarapu Harshavardhan Reddy</w:t>
      </w:r>
    </w:p>
    <w:p>
      <w:pPr>
        <w:spacing w:after="120" w:line="276"/>
      </w:pPr>
      <w:r>
        <w:rPr>
          <w:rFonts w:ascii="Calibri" w:cs="Calibri" w:eastAsia="Calibri" w:hAnsi="Calibri"/>
          <w:sz w:val="22"/>
          <w:szCs w:val="22"/>
        </w:rPr>
        <w:t xml:space="preserve">Intern, Information Technology Department</w:t>
      </w:r>
    </w:p>
    <w:sectPr>
      <w:footerReference w:type="default" r:id="rId7"/>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EDA Report Design | Palarapu Harshavardhan Reddy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2026-10-02T06:49:19.604Z</dcterms:created>
  <dcterms:modified xsi:type="dcterms:W3CDTF">2026-10-02T06:49:19.611Z</dcterms:modified>
</cp:coreProperties>
</file>

<file path=docProps/custom.xml><?xml version="1.0" encoding="utf-8"?>
<Properties xmlns="http://schemas.openxmlformats.org/officeDocument/2006/custom-properties" xmlns:vt="http://schemas.openxmlformats.org/officeDocument/2006/docPropsVTypes"/>
</file>