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b/>
          <w:bCs/>
          <w:color w:val="B5546B"/>
          <w:spacing w:val="60"/>
          <w:sz w:val="22"/>
          <w:szCs w:val="22"/>
        </w:rPr>
        <w:t xml:space="preserve">WEEK 1 DELIVERABLE</w:t>
      </w:r>
    </w:p>
    <w:p>
      <w:pPr>
        <w:spacing w:after="200"/>
      </w:pPr>
      <w:r>
        <w:rPr>
          <w:b/>
          <w:bCs/>
          <w:color w:val="1F3A5F"/>
          <w:sz w:val="52"/>
          <w:szCs w:val="52"/>
        </w:rPr>
        <w:t xml:space="preserve">Data Science Orientation &amp; Problem Definition in Beauty &amp; Wellness</w:t>
      </w:r>
    </w:p>
    <w:p>
      <w:pPr>
        <w:pBdr>
          <w:bottom w:val="single" w:color="B5546B" w:sz="12" w:space="8"/>
        </w:pBdr>
        <w:spacing w:after="400"/>
      </w:pPr>
      <w:r>
        <w:rPr>
          <w:color w:val="595959"/>
          <w:sz w:val="30"/>
          <w:szCs w:val="30"/>
        </w:rPr>
        <w:t xml:space="preserve">Reducing Choice Overload in Skincare: A Hybrid, Explainable Recommendation and Review-Intelligence Approach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C9C9D1" w:sz="4"/>
              <w:left w:val="single" w:color="C9C9D1" w:sz="4"/>
              <w:bottom w:val="single" w:color="C9C9D1" w:sz="4"/>
              <w:right w:val="single" w:color="C9C9D1" w:sz="4"/>
            </w:tcBorders>
            <w:shd w:fill="1F3A5F" w:color="auto" w:val="clear"/>
            <w:tcMar>
              <w:top w:type="dxa" w:w="70"/>
              <w:left w:type="dxa" w:w="110"/>
              <w:bottom w:type="dxa" w:w="70"/>
              <w:right w:type="dxa" w:w="110"/>
            </w:tcMar>
          </w:tcPr>
          <w:p>
            <w:pPr>
              <w:spacing w:after="30"/>
            </w:pPr>
            <w:r>
              <w:rPr>
                <w:b/>
                <w:bCs/>
                <w:color w:val="FFFFFF"/>
                <w:sz w:val="19"/>
                <w:szCs w:val="19"/>
              </w:rPr>
              <w:t xml:space="preserve">Item</w:t>
            </w:r>
          </w:p>
        </w:tc>
        <w:tc>
          <w:tcPr>
            <w:tcW w:type="dxa" w:w="6426"/>
            <w:tcBorders>
              <w:top w:val="single" w:color="C9C9D1" w:sz="4"/>
              <w:left w:val="single" w:color="C9C9D1" w:sz="4"/>
              <w:bottom w:val="single" w:color="C9C9D1" w:sz="4"/>
              <w:right w:val="single" w:color="C9C9D1" w:sz="4"/>
            </w:tcBorders>
            <w:shd w:fill="1F3A5F" w:color="auto" w:val="clear"/>
            <w:tcMar>
              <w:top w:type="dxa" w:w="70"/>
              <w:left w:type="dxa" w:w="110"/>
              <w:bottom w:type="dxa" w:w="70"/>
              <w:right w:type="dxa" w:w="110"/>
            </w:tcMar>
          </w:tcPr>
          <w:p>
            <w:pPr>
              <w:spacing w:after="30"/>
            </w:pPr>
            <w:r>
              <w:rPr>
                <w:b/>
                <w:bCs/>
                <w:color w:val="FFFFFF"/>
                <w:sz w:val="19"/>
                <w:szCs w:val="19"/>
              </w:rPr>
              <w:t xml:space="preserve">Detail</w:t>
            </w:r>
          </w:p>
        </w:tc>
      </w:tr>
      <w:tr>
        <w:trPr>
          <w:cantSplit/>
          <w:tblHeader w:val="false"/>
        </w:trPr>
        <w:tc>
          <w:tcPr>
            <w:tcW w:type="dxa" w:w="26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Document type</w:t>
            </w:r>
          </w:p>
        </w:tc>
        <w:tc>
          <w:tcPr>
            <w:tcW w:type="dxa" w:w="64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Problem definition, research design and analysis plan</w:t>
            </w:r>
          </w:p>
        </w:tc>
      </w:tr>
      <w:tr>
        <w:trPr>
          <w:cantSplit/>
          <w:tblHeader w:val="false"/>
        </w:trPr>
        <w:tc>
          <w:tcPr>
            <w:tcW w:type="dxa" w:w="26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Industry focus</w:t>
            </w:r>
          </w:p>
        </w:tc>
        <w:tc>
          <w:tcPr>
            <w:tcW w:type="dxa" w:w="6426"/>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Beauty &amp; Wellness (skincare e-commerce)</w:t>
            </w:r>
          </w:p>
        </w:tc>
      </w:tr>
      <w:tr>
        <w:trPr>
          <w:cantSplit/>
          <w:tblHeader w:val="false"/>
        </w:trPr>
        <w:tc>
          <w:tcPr>
            <w:tcW w:type="dxa" w:w="26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Data science themes</w:t>
            </w:r>
          </w:p>
        </w:tc>
        <w:tc>
          <w:tcPr>
            <w:tcW w:type="dxa" w:w="64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Product recommendation, consumer sentiment, customer segmentation</w:t>
            </w:r>
          </w:p>
        </w:tc>
      </w:tr>
      <w:tr>
        <w:trPr>
          <w:cantSplit/>
          <w:tblHeader w:val="false"/>
        </w:trPr>
        <w:tc>
          <w:tcPr>
            <w:tcW w:type="dxa" w:w="26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Prepared</w:t>
            </w:r>
          </w:p>
        </w:tc>
        <w:tc>
          <w:tcPr>
            <w:tcW w:type="dxa" w:w="6426"/>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September 2026</w:t>
            </w:r>
          </w:p>
        </w:tc>
      </w:tr>
      <w:tr>
        <w:trPr>
          <w:cantSplit/>
          <w:tblHeader w:val="false"/>
        </w:trPr>
        <w:tc>
          <w:tcPr>
            <w:tcW w:type="dxa" w:w="26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Status</w:t>
            </w:r>
          </w:p>
        </w:tc>
        <w:tc>
          <w:tcPr>
            <w:tcW w:type="dxa" w:w="64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Week 1 – conceptual foundation (no modelling performed yet)</w:t>
            </w:r>
          </w:p>
        </w:tc>
      </w:tr>
    </w:tbl>
    <w:p>
      <w:r>
        <w:br w:type="page"/>
      </w:r>
    </w:p>
    <w:p>
      <w:pPr>
        <w:pStyle w:val="Heading1"/>
      </w:pPr>
      <w:r>
        <w:t xml:space="preserve">Contents</w:t>
      </w:r>
    </w:p>
    <w:p>
      <w:pPr>
        <w:spacing w:after="70"/>
      </w:pPr>
      <w:r>
        <w:rPr>
          <w:sz w:val="22"/>
          <w:szCs w:val="22"/>
        </w:rPr>
        <w:t xml:space="preserve">1. Executive Summary</w:t>
      </w:r>
    </w:p>
    <w:p>
      <w:pPr>
        <w:spacing w:after="70"/>
      </w:pPr>
      <w:r>
        <w:rPr>
          <w:sz w:val="22"/>
          <w:szCs w:val="22"/>
        </w:rPr>
        <w:t xml:space="preserve">2. Industry Context and Trend Research</w:t>
      </w:r>
    </w:p>
    <w:p>
      <w:pPr>
        <w:spacing w:after="70"/>
      </w:pPr>
      <w:r>
        <w:rPr>
          <w:sz w:val="22"/>
          <w:szCs w:val="22"/>
        </w:rPr>
        <w:t xml:space="preserve">3. Selecting the Business Problem</w:t>
      </w:r>
    </w:p>
    <w:p>
      <w:pPr>
        <w:spacing w:after="70"/>
      </w:pPr>
      <w:r>
        <w:rPr>
          <w:sz w:val="22"/>
          <w:szCs w:val="22"/>
        </w:rPr>
        <w:t xml:space="preserve">4. Problem Statement, Objectives and Scope</w:t>
      </w:r>
    </w:p>
    <w:p>
      <w:pPr>
        <w:spacing w:after="70"/>
      </w:pPr>
      <w:r>
        <w:rPr>
          <w:sz w:val="22"/>
          <w:szCs w:val="22"/>
        </w:rPr>
        <w:t xml:space="preserve">5. Relevance to the Beauty &amp; Wellness Sector</w:t>
      </w:r>
    </w:p>
    <w:p>
      <w:pPr>
        <w:spacing w:after="70"/>
      </w:pPr>
      <w:r>
        <w:rPr>
          <w:sz w:val="22"/>
          <w:szCs w:val="22"/>
        </w:rPr>
        <w:t xml:space="preserve">6. Academic and Applied Literature Review</w:t>
      </w:r>
    </w:p>
    <w:p>
      <w:pPr>
        <w:spacing w:after="70"/>
      </w:pPr>
      <w:r>
        <w:rPr>
          <w:sz w:val="22"/>
          <w:szCs w:val="22"/>
        </w:rPr>
        <w:t xml:space="preserve">7. Research Questions and Hypotheses</w:t>
      </w:r>
    </w:p>
    <w:p>
      <w:pPr>
        <w:spacing w:after="70"/>
      </w:pPr>
      <w:r>
        <w:rPr>
          <w:sz w:val="22"/>
          <w:szCs w:val="22"/>
        </w:rPr>
        <w:t xml:space="preserve">8. Variables and Data Sources</w:t>
      </w:r>
    </w:p>
    <w:p>
      <w:pPr>
        <w:spacing w:after="70"/>
      </w:pPr>
      <w:r>
        <w:rPr>
          <w:sz w:val="22"/>
          <w:szCs w:val="22"/>
        </w:rPr>
        <w:t xml:space="preserve">9. Analysis Plan: Step-by-Step Approach</w:t>
      </w:r>
    </w:p>
    <w:p>
      <w:pPr>
        <w:spacing w:after="70"/>
      </w:pPr>
      <w:r>
        <w:rPr>
          <w:sz w:val="22"/>
          <w:szCs w:val="22"/>
        </w:rPr>
        <w:t xml:space="preserve">10. Tools, Methods and Justification</w:t>
      </w:r>
    </w:p>
    <w:p>
      <w:pPr>
        <w:spacing w:after="70"/>
      </w:pPr>
      <w:r>
        <w:rPr>
          <w:sz w:val="22"/>
          <w:szCs w:val="22"/>
        </w:rPr>
        <w:t xml:space="preserve">11. Evaluation Framework</w:t>
      </w:r>
    </w:p>
    <w:p>
      <w:pPr>
        <w:spacing w:after="70"/>
      </w:pPr>
      <w:r>
        <w:rPr>
          <w:sz w:val="22"/>
          <w:szCs w:val="22"/>
        </w:rPr>
        <w:t xml:space="preserve">12. Risks, Limitations and Ethics</w:t>
      </w:r>
    </w:p>
    <w:p>
      <w:pPr>
        <w:spacing w:after="70"/>
      </w:pPr>
      <w:r>
        <w:rPr>
          <w:sz w:val="22"/>
          <w:szCs w:val="22"/>
        </w:rPr>
        <w:t xml:space="preserve">13. Timeline, Effort Allocation and Next Steps</w:t>
      </w:r>
    </w:p>
    <w:p>
      <w:pPr>
        <w:spacing w:after="70"/>
      </w:pPr>
      <w:r>
        <w:rPr>
          <w:sz w:val="22"/>
          <w:szCs w:val="22"/>
        </w:rPr>
        <w:t xml:space="preserve">14. References</w:t>
      </w:r>
    </w:p>
    <w:p>
      <w:pPr>
        <w:spacing w:after="70"/>
      </w:pPr>
      <w:r>
        <w:rPr>
          <w:sz w:val="22"/>
          <w:szCs w:val="22"/>
        </w:rPr>
        <w:t xml:space="preserve">Appendix A. Glossary</w:t>
      </w:r>
    </w:p>
    <w:p>
      <w:r>
        <w:br w:type="page"/>
      </w:r>
    </w:p>
    <w:p>
      <w:pPr>
        <w:pStyle w:val="Heading1"/>
      </w:pPr>
      <w:r>
        <w:t xml:space="preserve">1. Executive Summary</w:t>
      </w:r>
    </w:p>
    <w:p>
      <w:pPr>
        <w:spacing w:after="140" w:line="288"/>
      </w:pPr>
      <w:r>
        <w:t xml:space="preserve">The beauty and wellness industry is large, still growing, and increasingly digital. Consumers now discover, compare and buy products through e-commerce, social platforms and marketplaces, and they face catalogues with thousands of near-similar items. Skincare, the industry's biggest category, is the clearest example: a shopper must match a product to a skin type, a concern, a budget and an ingredient tolerance, usually with no help beyond star ratings and marketing claims.</w:t>
      </w:r>
    </w:p>
    <w:p>
      <w:pPr>
        <w:spacing w:after="140" w:line="288"/>
      </w:pPr>
      <w:r>
        <w:t xml:space="preserve">This document defines one focused business problem: </w:t>
      </w:r>
      <w:r>
        <w:rPr>
          <w:b/>
          <w:bCs/>
        </w:rPr>
        <w:t xml:space="preserve">how can an online beauty retailer help shoppers, especially first-time visitors with no purchase history, find skincare products that suit their skin profile, and explain why those products are recommended?</w:t>
      </w:r>
      <w:r>
        <w:t xml:space="preserve"> The proposed solution is a hybrid recommendation framework that combines product ingredient and attribute data, reviewer skin-profile information, and mined review text, evaluated against simple baselines with proper statistical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546B" w:sz="24"/>
              <w:bottom w:val="none" w:color="FFFFFF" w:sz="0"/>
              <w:right w:val="none" w:color="FFFFFF" w:sz="0"/>
            </w:tcBorders>
            <w:shd w:fill="F3E8EB" w:color="auto" w:val="clear"/>
            <w:tcMar>
              <w:top w:type="dxa" w:w="120"/>
              <w:left w:type="dxa" w:w="200"/>
              <w:bottom w:type="dxa" w:w="120"/>
              <w:right w:type="dxa" w:w="200"/>
            </w:tcMar>
          </w:tcPr>
          <w:p>
            <w:pPr>
              <w:spacing w:after="60"/>
            </w:pPr>
            <w:r>
              <w:rPr>
                <w:b/>
                <w:bCs/>
                <w:color w:val="B5546B"/>
              </w:rPr>
              <w:t xml:space="preserve">Problem in one sentence</w:t>
            </w:r>
          </w:p>
          <w:p>
            <w:pPr>
              <w:spacing w:line="288"/>
            </w:pPr>
            <w:r>
              <w:t xml:space="preserve">Popularity-driven ranking and generic star ratings do not reflect who a product works for, which drives low-fit purchases, returns and lost trust. The project will test whether skin-profile-aware, ingredient-aware and review-text-aware models can rank products better, especially for cold-start users.</w:t>
            </w:r>
          </w:p>
        </w:tc>
      </w:tr>
    </w:tbl>
    <w:p>
      <w:pPr>
        <w:spacing w:after="80"/>
      </w:pPr>
    </w:p>
    <w:p>
      <w:pPr>
        <w:spacing w:after="140" w:line="288"/>
      </w:pPr>
      <w:r>
        <w:rPr>
          <w:b/>
          <w:bCs/>
        </w:rPr>
        <w:t xml:space="preserve">What this document delivers:</w:t>
      </w:r>
      <w:r>
        <w:t xml:space="preserve"> an industry and trend analysis; a justified choice of problem; a formal problem statement with measurable objectives; six research questions with testable hypotheses; a variable and data inventory; a phased analysis plan with tools; an evaluation framework; and a risk and ethics review. The plan is designed to be executed in the following weeks using a publicly available skincare review dataset.</w:t>
      </w:r>
    </w:p>
    <w:p>
      <w:pPr>
        <w:pStyle w:val="Heading1"/>
      </w:pPr>
      <w:r>
        <w:t xml:space="preserve">2. Industry Context and Trend Research</w:t>
      </w:r>
    </w:p>
    <w:p>
      <w:pPr>
        <w:pStyle w:val="Heading2"/>
      </w:pPr>
      <w:r>
        <w:t xml:space="preserve">2.1 Market size and growth</w:t>
      </w:r>
    </w:p>
    <w:p>
      <w:pPr>
        <w:spacing w:after="140" w:line="288"/>
      </w:pPr>
      <w:r>
        <w:t xml:space="preserve">Published estimates of the market differ because analysts draw the boundary differently. McKinsey's core definition covers four categories (skin care, hair care, color cosmetics and fragrance) and put the industry at about $450 billion in its 2025 report, after roughly 7% annual growth from 2022 to 2024 [2]. Its 2026 report expects growth of about 5% a year, reaching around $590 billion by 2030 [1]. Broader definitions that include personal care (oral care, hygiene, sun care) give higher totals; one Statista-based summary places the 2026 figure near $698 billion [4]. Wellness-inclusive estimates from commercial research houses are larger still, which is a reminder to state the definition whenever a market figure is quoted.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326"/>
        <w:gridCol w:w="2400"/>
      </w:tblGrid>
      <w:tr>
        <w:trPr>
          <w:cantSplit/>
          <w:tblHeader/>
        </w:trPr>
        <w:tc>
          <w:tcPr>
            <w:tcW w:type="dxa" w:w="2300"/>
            <w:tcBorders>
              <w:top w:val="single" w:color="C9C9D1" w:sz="4"/>
              <w:left w:val="single" w:color="C9C9D1" w:sz="4"/>
              <w:bottom w:val="single" w:color="C9C9D1" w:sz="4"/>
              <w:right w:val="single" w:color="C9C9D1" w:sz="4"/>
            </w:tcBorders>
            <w:shd w:fill="1F3A5F" w:color="auto" w:val="clear"/>
            <w:tcMar>
              <w:top w:type="dxa" w:w="70"/>
              <w:left w:type="dxa" w:w="110"/>
              <w:bottom w:type="dxa" w:w="70"/>
              <w:right w:type="dxa" w:w="110"/>
            </w:tcMar>
          </w:tcPr>
          <w:p>
            <w:pPr>
              <w:spacing w:after="30"/>
            </w:pPr>
            <w:r>
              <w:rPr>
                <w:b/>
                <w:bCs/>
                <w:color w:val="FFFFFF"/>
                <w:sz w:val="19"/>
                <w:szCs w:val="19"/>
              </w:rPr>
              <w:t xml:space="preserve">Indicator</w:t>
            </w:r>
          </w:p>
        </w:tc>
        <w:tc>
          <w:tcPr>
            <w:tcW w:type="dxa" w:w="4326"/>
            <w:tcBorders>
              <w:top w:val="single" w:color="C9C9D1" w:sz="4"/>
              <w:left w:val="single" w:color="C9C9D1" w:sz="4"/>
              <w:bottom w:val="single" w:color="C9C9D1" w:sz="4"/>
              <w:right w:val="single" w:color="C9C9D1" w:sz="4"/>
            </w:tcBorders>
            <w:shd w:fill="1F3A5F" w:color="auto" w:val="clear"/>
            <w:tcMar>
              <w:top w:type="dxa" w:w="70"/>
              <w:left w:type="dxa" w:w="110"/>
              <w:bottom w:type="dxa" w:w="70"/>
              <w:right w:type="dxa" w:w="110"/>
            </w:tcMar>
          </w:tcPr>
          <w:p>
            <w:pPr>
              <w:spacing w:after="30"/>
            </w:pPr>
            <w:r>
              <w:rPr>
                <w:b/>
                <w:bCs/>
                <w:color w:val="FFFFFF"/>
                <w:sz w:val="19"/>
                <w:szCs w:val="19"/>
              </w:rPr>
              <w:t xml:space="preserve">Finding</w:t>
            </w:r>
          </w:p>
        </w:tc>
        <w:tc>
          <w:tcPr>
            <w:tcW w:type="dxa" w:w="2400"/>
            <w:tcBorders>
              <w:top w:val="single" w:color="C9C9D1" w:sz="4"/>
              <w:left w:val="single" w:color="C9C9D1" w:sz="4"/>
              <w:bottom w:val="single" w:color="C9C9D1" w:sz="4"/>
              <w:right w:val="single" w:color="C9C9D1" w:sz="4"/>
            </w:tcBorders>
            <w:shd w:fill="1F3A5F" w:color="auto" w:val="clear"/>
            <w:tcMar>
              <w:top w:type="dxa" w:w="70"/>
              <w:left w:type="dxa" w:w="110"/>
              <w:bottom w:type="dxa" w:w="70"/>
              <w:right w:type="dxa" w:w="110"/>
            </w:tcMar>
          </w:tcPr>
          <w:p>
            <w:pPr>
              <w:spacing w:after="30"/>
            </w:pPr>
            <w:r>
              <w:rPr>
                <w:b/>
                <w:bCs/>
                <w:color w:val="FFFFFF"/>
                <w:sz w:val="19"/>
                <w:szCs w:val="19"/>
              </w:rPr>
              <w:t xml:space="preserve">Source</w:t>
            </w:r>
          </w:p>
        </w:tc>
      </w:tr>
      <w:tr>
        <w:trPr>
          <w:cantSplit/>
          <w:tblHeader w:val="false"/>
        </w:trPr>
        <w:tc>
          <w:tcPr>
            <w:tcW w:type="dxa" w:w="23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Core beauty market (4 categories)</w:t>
            </w:r>
          </w:p>
        </w:tc>
        <w:tc>
          <w:tcPr>
            <w:tcW w:type="dxa" w:w="43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About $450B (2025 report); ~5% annual growth to ~$590B by 2030 (2026 report)</w:t>
            </w:r>
          </w:p>
        </w:tc>
        <w:tc>
          <w:tcPr>
            <w:tcW w:type="dxa" w:w="24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McKinsey [1][2]</w:t>
            </w:r>
          </w:p>
        </w:tc>
      </w:tr>
      <w:tr>
        <w:trPr>
          <w:cantSplit/>
          <w:tblHeader w:val="false"/>
        </w:trPr>
        <w:tc>
          <w:tcPr>
            <w:tcW w:type="dxa" w:w="23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Largest category</w:t>
            </w:r>
          </w:p>
        </w:tc>
        <w:tc>
          <w:tcPr>
            <w:tcW w:type="dxa" w:w="4326"/>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Skin care, projected at roughly $235B by 2030</w:t>
            </w:r>
          </w:p>
        </w:tc>
        <w:tc>
          <w:tcPr>
            <w:tcW w:type="dxa" w:w="24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McKinsey via [4]</w:t>
            </w:r>
          </w:p>
        </w:tc>
      </w:tr>
      <w:tr>
        <w:trPr>
          <w:cantSplit/>
          <w:tblHeader w:val="false"/>
        </w:trPr>
        <w:tc>
          <w:tcPr>
            <w:tcW w:type="dxa" w:w="23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Fastest-growing category</w:t>
            </w:r>
          </w:p>
        </w:tc>
        <w:tc>
          <w:tcPr>
            <w:tcW w:type="dxa" w:w="43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Fragrance, expected to pass color cosmetics as the third-largest category</w:t>
            </w:r>
          </w:p>
        </w:tc>
        <w:tc>
          <w:tcPr>
            <w:tcW w:type="dxa" w:w="24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McKinsey via [4]</w:t>
            </w:r>
          </w:p>
        </w:tc>
      </w:tr>
      <w:tr>
        <w:trPr>
          <w:cantSplit/>
          <w:tblHeader w:val="false"/>
        </w:trPr>
        <w:tc>
          <w:tcPr>
            <w:tcW w:type="dxa" w:w="23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Broader beauty &amp; personal care</w:t>
            </w:r>
          </w:p>
        </w:tc>
        <w:tc>
          <w:tcPr>
            <w:tcW w:type="dxa" w:w="4326"/>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About $698B projected for 2026 (includes oral care, hygiene, sun care)</w:t>
            </w:r>
          </w:p>
        </w:tc>
        <w:tc>
          <w:tcPr>
            <w:tcW w:type="dxa" w:w="24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Statista via [4]</w:t>
            </w:r>
          </w:p>
        </w:tc>
      </w:tr>
      <w:tr>
        <w:trPr>
          <w:cantSplit/>
          <w:tblHeader w:val="false"/>
        </w:trPr>
        <w:tc>
          <w:tcPr>
            <w:tcW w:type="dxa" w:w="23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Consumer meaning of beauty</w:t>
            </w:r>
          </w:p>
        </w:tc>
        <w:tc>
          <w:tcPr>
            <w:tcW w:type="dxa" w:w="43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Just over half of surveyed consumers link beauty to feeling confident; appearance-driven motives were cited by fewer (about 26% each)</w:t>
            </w:r>
          </w:p>
        </w:tc>
        <w:tc>
          <w:tcPr>
            <w:tcW w:type="dxa" w:w="24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McKinsey survey [1]</w:t>
            </w:r>
          </w:p>
        </w:tc>
      </w:tr>
      <w:tr>
        <w:trPr>
          <w:cantSplit/>
          <w:tblHeader w:val="false"/>
        </w:trPr>
        <w:tc>
          <w:tcPr>
            <w:tcW w:type="dxa" w:w="23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Natural / wellness-led beauty</w:t>
            </w:r>
          </w:p>
        </w:tc>
        <w:tc>
          <w:tcPr>
            <w:tcW w:type="dxa" w:w="4326"/>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Contributes nearly three times its sales share to growth in brick-and-mortar channels</w:t>
            </w:r>
          </w:p>
        </w:tc>
        <w:tc>
          <w:tcPr>
            <w:tcW w:type="dxa" w:w="24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SPINS [3]</w:t>
            </w:r>
          </w:p>
        </w:tc>
      </w:tr>
      <w:tr>
        <w:trPr>
          <w:cantSplit/>
          <w:tblHeader w:val="false"/>
        </w:trPr>
        <w:tc>
          <w:tcPr>
            <w:tcW w:type="dxa" w:w="23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Body care e-commerce</w:t>
            </w:r>
          </w:p>
        </w:tc>
        <w:tc>
          <w:tcPr>
            <w:tcW w:type="dxa" w:w="43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Amazon dollar sales up 14.4% in the 52 weeks to May 2026, versus low single-digit growth in other channels</w:t>
            </w:r>
          </w:p>
        </w:tc>
        <w:tc>
          <w:tcPr>
            <w:tcW w:type="dxa" w:w="24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SPINS [3]</w:t>
            </w:r>
          </w:p>
        </w:tc>
      </w:tr>
    </w:tbl>
    <w:p>
      <w:pPr>
        <w:spacing w:after="200" w:before="60"/>
      </w:pPr>
      <w:r>
        <w:rPr>
          <w:i/>
          <w:iCs/>
          <w:color w:val="595959"/>
          <w:sz w:val="18"/>
          <w:szCs w:val="18"/>
        </w:rPr>
        <w:t xml:space="preserve">Table 1. Selected industry indicators from public sources. Figures should be re-verified against the original reports before formal citation in later deliverables.</w:t>
      </w:r>
    </w:p>
    <w:p>
      <w:pPr>
        <w:pStyle w:val="Heading2"/>
      </w:pPr>
      <w:r>
        <w:t xml:space="preserve">2.2 Structural trends that shape the data science opportunity</w:t>
      </w:r>
    </w:p>
    <w:p>
      <w:pPr>
        <w:pStyle w:val="ListParagraph"/>
        <w:numPr>
          <w:ilvl w:val="0"/>
          <w:numId w:val="2"/>
        </w:numPr>
        <w:spacing w:after="80" w:line="276"/>
      </w:pPr>
      <w:r>
        <w:rPr>
          <w:b/>
          <w:bCs/>
        </w:rPr>
        <w:t xml:space="preserve">The definition of beauty is widening into wellness.</w:t>
      </w:r>
      <w:r>
        <w:t xml:space="preserve"> Consumers increasingly see beauty as self-care and confidence rather than only appearance, and McKinsey notes that this holistic mindset is expanding the market's boundaries beyond the four core categories [1]. Supplements, hair-health products and skin-health positioning are part of this shift.</w:t>
      </w:r>
    </w:p>
    <w:p>
      <w:pPr>
        <w:pStyle w:val="ListParagraph"/>
        <w:numPr>
          <w:ilvl w:val="0"/>
          <w:numId w:val="2"/>
        </w:numPr>
        <w:spacing w:after="80" w:line="276"/>
      </w:pPr>
      <w:r>
        <w:rPr>
          <w:b/>
          <w:bCs/>
        </w:rPr>
        <w:t xml:space="preserve">Health-driven demand is creating new product needs.</w:t>
      </w:r>
      <w:r>
        <w:t xml:space="preserve"> McKinsey highlights consumer segments such as households using GLP-1 medications, which it reports spend roughly 30% more on beauty products, with new needs such as facial volume loss, dehydration and hair thinning [1]. Needs-based personalization becomes more valuable as needs diversify.</w:t>
      </w:r>
    </w:p>
    <w:p>
      <w:pPr>
        <w:pStyle w:val="ListParagraph"/>
        <w:numPr>
          <w:ilvl w:val="0"/>
          <w:numId w:val="2"/>
        </w:numPr>
        <w:spacing w:after="80" w:line="276"/>
      </w:pPr>
      <w:r>
        <w:rPr>
          <w:b/>
          <w:bCs/>
        </w:rPr>
        <w:t xml:space="preserve">Discovery and purchase are moving to digital, social and agentic channels.</w:t>
      </w:r>
      <w:r>
        <w:t xml:space="preserve"> Beauty distribution has shifted toward e-commerce and omnichannel, and the channel landscape is being restructured as consumers use social commerce, digital marketplaces and agentic commerce to discover and buy [1]. Whoever controls recommendation logic controls a large part of discovery.</w:t>
      </w:r>
    </w:p>
    <w:p>
      <w:pPr>
        <w:pStyle w:val="ListParagraph"/>
        <w:numPr>
          <w:ilvl w:val="0"/>
          <w:numId w:val="2"/>
        </w:numPr>
        <w:spacing w:after="80" w:line="276"/>
      </w:pPr>
      <w:r>
        <w:rPr>
          <w:b/>
          <w:bCs/>
        </w:rPr>
        <w:t xml:space="preserve">Value scrutiny is rising.</w:t>
      </w:r>
      <w:r>
        <w:t xml:space="preserve"> Growth is expected to be less price-driven than in the inflationary period, with buyers examining value for money more closely [1][5]. Wrong purchases are therefore costlier for brands and retailers.</w:t>
      </w:r>
    </w:p>
    <w:p>
      <w:pPr>
        <w:pStyle w:val="ListParagraph"/>
        <w:numPr>
          <w:ilvl w:val="0"/>
          <w:numId w:val="2"/>
        </w:numPr>
        <w:spacing w:after="80" w:line="276"/>
      </w:pPr>
      <w:r>
        <w:rPr>
          <w:b/>
          <w:bCs/>
        </w:rPr>
        <w:t xml:space="preserve">Ritual, ingredient and dermatological credibility influence purchasing.</w:t>
      </w:r>
      <w:r>
        <w:t xml:space="preserve"> SPINS describes K-beauty routines, French-pharmacy dermatological credibility and social-media-driven trend adoption as influences on the U.S. market [3]. These make ingredients and routines natural features for analysis.</w:t>
      </w:r>
    </w:p>
    <w:p>
      <w:pPr>
        <w:pStyle w:val="ListParagraph"/>
        <w:numPr>
          <w:ilvl w:val="0"/>
          <w:numId w:val="2"/>
        </w:numPr>
        <w:spacing w:after="80" w:line="276"/>
      </w:pPr>
      <w:r>
        <w:rPr>
          <w:b/>
          <w:bCs/>
        </w:rPr>
        <w:t xml:space="preserve">Convenience behaviours reward good defaults.</w:t>
      </w:r>
      <w:r>
        <w:t xml:space="preserve"> Shoppers lean toward quick reordering, subscriptions and wider assortment online [3], which favours recommendation and replenishment logic.</w:t>
      </w:r>
    </w:p>
    <w:p>
      <w:pPr>
        <w:pStyle w:val="Heading2"/>
      </w:pPr>
      <w:r>
        <w:t xml:space="preserve">2.3 What the trends imply for data science</w:t>
      </w:r>
    </w:p>
    <w:p>
      <w:pPr>
        <w:spacing w:after="140" w:line="288"/>
      </w:pPr>
      <w:r>
        <w:t xml:space="preserve">Three implications guide the choice of problem. First, catalogues are large and products are highly substitutable, so </w:t>
      </w:r>
      <w:r>
        <w:rPr>
          <w:b/>
          <w:bCs/>
        </w:rPr>
        <w:t xml:space="preserve">relevance ranking</w:t>
      </w:r>
      <w:r>
        <w:t xml:space="preserve"> creates real value. Second, purchase decisions depend on personal attributes (skin type, concerns, sensitivities) that generic popularity signals ignore, so </w:t>
      </w:r>
      <w:r>
        <w:rPr>
          <w:b/>
          <w:bCs/>
        </w:rPr>
        <w:t xml:space="preserve">personalization</w:t>
      </w:r>
      <w:r>
        <w:t xml:space="preserve"> is a differentiator. Third, consumers rely on review text and social proof, which hold rich, unstructured evidence about what works for whom, so </w:t>
      </w:r>
      <w:r>
        <w:rPr>
          <w:b/>
          <w:bCs/>
        </w:rPr>
        <w:t xml:space="preserve">text analytics</w:t>
      </w:r>
      <w:r>
        <w:t xml:space="preserve"> can turn opinions into features.</w:t>
      </w:r>
    </w:p>
    <w:p>
      <w:pPr>
        <w:pStyle w:val="Heading1"/>
      </w:pPr>
      <w:r>
        <w:t xml:space="preserve">3. Selecting the Business Problem</w:t>
      </w:r>
    </w:p>
    <w:p>
      <w:pPr>
        <w:pStyle w:val="Heading2"/>
      </w:pPr>
      <w:r>
        <w:t xml:space="preserve">3.1 Candidate problems</w:t>
      </w:r>
    </w:p>
    <w:p>
      <w:pPr>
        <w:spacing w:after="140" w:line="288"/>
      </w:pPr>
      <w:r>
        <w:t xml:space="preserve">Five candidate problems, each aligned with the examples in the task brief, were assessed on four criteria: business value, data availability (public and free), analytical richness for a multi-week project, and feasibility within scope. Scores run from 1 (weak) to 5 (strong).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200"/>
        <w:gridCol w:w="1200"/>
        <w:gridCol w:w="1300"/>
        <w:gridCol w:w="1000"/>
        <w:gridCol w:w="1426"/>
      </w:tblGrid>
      <w:tr>
        <w:trPr>
          <w:cantSplit/>
          <w:tblHeader/>
        </w:trPr>
        <w:tc>
          <w:tcPr>
            <w:tcW w:type="dxa" w:w="2900"/>
            <w:tcBorders>
              <w:top w:val="single" w:color="C9C9D1" w:sz="4"/>
              <w:left w:val="single" w:color="C9C9D1" w:sz="4"/>
              <w:bottom w:val="single" w:color="C9C9D1" w:sz="4"/>
              <w:right w:val="single" w:color="C9C9D1" w:sz="4"/>
            </w:tcBorders>
            <w:shd w:fill="1F3A5F" w:color="auto" w:val="clear"/>
            <w:tcMar>
              <w:top w:type="dxa" w:w="70"/>
              <w:left w:type="dxa" w:w="110"/>
              <w:bottom w:type="dxa" w:w="70"/>
              <w:right w:type="dxa" w:w="110"/>
            </w:tcMar>
          </w:tcPr>
          <w:p>
            <w:pPr>
              <w:spacing w:after="30"/>
            </w:pPr>
            <w:r>
              <w:rPr>
                <w:b/>
                <w:bCs/>
                <w:color w:val="FFFFFF"/>
                <w:sz w:val="19"/>
                <w:szCs w:val="19"/>
              </w:rPr>
              <w:t xml:space="preserve">Candidate problem</w:t>
            </w:r>
          </w:p>
        </w:tc>
        <w:tc>
          <w:tcPr>
            <w:tcW w:type="dxa" w:w="1200"/>
            <w:tcBorders>
              <w:top w:val="single" w:color="C9C9D1" w:sz="4"/>
              <w:left w:val="single" w:color="C9C9D1" w:sz="4"/>
              <w:bottom w:val="single" w:color="C9C9D1" w:sz="4"/>
              <w:right w:val="single" w:color="C9C9D1" w:sz="4"/>
            </w:tcBorders>
            <w:shd w:fill="1F3A5F" w:color="auto" w:val="clear"/>
            <w:tcMar>
              <w:top w:type="dxa" w:w="70"/>
              <w:left w:type="dxa" w:w="110"/>
              <w:bottom w:type="dxa" w:w="70"/>
              <w:right w:type="dxa" w:w="110"/>
            </w:tcMar>
          </w:tcPr>
          <w:p>
            <w:pPr>
              <w:spacing w:after="30"/>
            </w:pPr>
            <w:r>
              <w:rPr>
                <w:b/>
                <w:bCs/>
                <w:color w:val="FFFFFF"/>
                <w:sz w:val="19"/>
                <w:szCs w:val="19"/>
              </w:rPr>
              <w:t xml:space="preserve">Business value</w:t>
            </w:r>
          </w:p>
        </w:tc>
        <w:tc>
          <w:tcPr>
            <w:tcW w:type="dxa" w:w="1200"/>
            <w:tcBorders>
              <w:top w:val="single" w:color="C9C9D1" w:sz="4"/>
              <w:left w:val="single" w:color="C9C9D1" w:sz="4"/>
              <w:bottom w:val="single" w:color="C9C9D1" w:sz="4"/>
              <w:right w:val="single" w:color="C9C9D1" w:sz="4"/>
            </w:tcBorders>
            <w:shd w:fill="1F3A5F" w:color="auto" w:val="clear"/>
            <w:tcMar>
              <w:top w:type="dxa" w:w="70"/>
              <w:left w:type="dxa" w:w="110"/>
              <w:bottom w:type="dxa" w:w="70"/>
              <w:right w:type="dxa" w:w="110"/>
            </w:tcMar>
          </w:tcPr>
          <w:p>
            <w:pPr>
              <w:spacing w:after="30"/>
            </w:pPr>
            <w:r>
              <w:rPr>
                <w:b/>
                <w:bCs/>
                <w:color w:val="FFFFFF"/>
                <w:sz w:val="19"/>
                <w:szCs w:val="19"/>
              </w:rPr>
              <w:t xml:space="preserve">Public data</w:t>
            </w:r>
          </w:p>
        </w:tc>
        <w:tc>
          <w:tcPr>
            <w:tcW w:type="dxa" w:w="1300"/>
            <w:tcBorders>
              <w:top w:val="single" w:color="C9C9D1" w:sz="4"/>
              <w:left w:val="single" w:color="C9C9D1" w:sz="4"/>
              <w:bottom w:val="single" w:color="C9C9D1" w:sz="4"/>
              <w:right w:val="single" w:color="C9C9D1" w:sz="4"/>
            </w:tcBorders>
            <w:shd w:fill="1F3A5F" w:color="auto" w:val="clear"/>
            <w:tcMar>
              <w:top w:type="dxa" w:w="70"/>
              <w:left w:type="dxa" w:w="110"/>
              <w:bottom w:type="dxa" w:w="70"/>
              <w:right w:type="dxa" w:w="110"/>
            </w:tcMar>
          </w:tcPr>
          <w:p>
            <w:pPr>
              <w:spacing w:after="30"/>
            </w:pPr>
            <w:r>
              <w:rPr>
                <w:b/>
                <w:bCs/>
                <w:color w:val="FFFFFF"/>
                <w:sz w:val="19"/>
                <w:szCs w:val="19"/>
              </w:rPr>
              <w:t xml:space="preserve">Analytical richness</w:t>
            </w:r>
          </w:p>
        </w:tc>
        <w:tc>
          <w:tcPr>
            <w:tcW w:type="dxa" w:w="1000"/>
            <w:tcBorders>
              <w:top w:val="single" w:color="C9C9D1" w:sz="4"/>
              <w:left w:val="single" w:color="C9C9D1" w:sz="4"/>
              <w:bottom w:val="single" w:color="C9C9D1" w:sz="4"/>
              <w:right w:val="single" w:color="C9C9D1" w:sz="4"/>
            </w:tcBorders>
            <w:shd w:fill="1F3A5F" w:color="auto" w:val="clear"/>
            <w:tcMar>
              <w:top w:type="dxa" w:w="70"/>
              <w:left w:type="dxa" w:w="110"/>
              <w:bottom w:type="dxa" w:w="70"/>
              <w:right w:type="dxa" w:w="110"/>
            </w:tcMar>
          </w:tcPr>
          <w:p>
            <w:pPr>
              <w:spacing w:after="30"/>
            </w:pPr>
            <w:r>
              <w:rPr>
                <w:b/>
                <w:bCs/>
                <w:color w:val="FFFFFF"/>
                <w:sz w:val="19"/>
                <w:szCs w:val="19"/>
              </w:rPr>
              <w:t xml:space="preserve">Feasibility</w:t>
            </w:r>
          </w:p>
        </w:tc>
        <w:tc>
          <w:tcPr>
            <w:tcW w:type="dxa" w:w="1426"/>
            <w:tcBorders>
              <w:top w:val="single" w:color="C9C9D1" w:sz="4"/>
              <w:left w:val="single" w:color="C9C9D1" w:sz="4"/>
              <w:bottom w:val="single" w:color="C9C9D1" w:sz="4"/>
              <w:right w:val="single" w:color="C9C9D1" w:sz="4"/>
            </w:tcBorders>
            <w:shd w:fill="1F3A5F" w:color="auto" w:val="clear"/>
            <w:tcMar>
              <w:top w:type="dxa" w:w="70"/>
              <w:left w:type="dxa" w:w="110"/>
              <w:bottom w:type="dxa" w:w="70"/>
              <w:right w:type="dxa" w:w="110"/>
            </w:tcMar>
          </w:tcPr>
          <w:p>
            <w:pPr>
              <w:spacing w:after="30"/>
            </w:pPr>
            <w:r>
              <w:rPr>
                <w:b/>
                <w:bCs/>
                <w:color w:val="FFFFFF"/>
                <w:sz w:val="19"/>
                <w:szCs w:val="19"/>
              </w:rPr>
              <w:t xml:space="preserve">Total (/20)</w:t>
            </w:r>
          </w:p>
        </w:tc>
      </w:tr>
      <w:tr>
        <w:trPr>
          <w:cantSplit/>
          <w:tblHeader w:val="false"/>
        </w:trPr>
        <w:tc>
          <w:tcPr>
            <w:tcW w:type="dxa" w:w="29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A. Skincare product recommendation and cold-start personalization</w:t>
            </w:r>
          </w:p>
        </w:tc>
        <w:tc>
          <w:tcPr>
            <w:tcW w:type="dxa" w:w="12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5</w:t>
            </w:r>
          </w:p>
        </w:tc>
        <w:tc>
          <w:tcPr>
            <w:tcW w:type="dxa" w:w="12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5</w:t>
            </w:r>
          </w:p>
        </w:tc>
        <w:tc>
          <w:tcPr>
            <w:tcW w:type="dxa" w:w="13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5</w:t>
            </w:r>
          </w:p>
        </w:tc>
        <w:tc>
          <w:tcPr>
            <w:tcW w:type="dxa" w:w="10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4</w:t>
            </w:r>
          </w:p>
        </w:tc>
        <w:tc>
          <w:tcPr>
            <w:tcW w:type="dxa" w:w="14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b/>
                <w:bCs/>
                <w:sz w:val="19"/>
                <w:szCs w:val="19"/>
              </w:rPr>
              <w:t xml:space="preserve">19</w:t>
            </w:r>
          </w:p>
        </w:tc>
      </w:tr>
      <w:tr>
        <w:trPr>
          <w:cantSplit/>
          <w:tblHeader w:val="false"/>
        </w:trPr>
        <w:tc>
          <w:tcPr>
            <w:tcW w:type="dxa" w:w="29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B. Brand sentiment monitoring from social media</w:t>
            </w:r>
          </w:p>
        </w:tc>
        <w:tc>
          <w:tcPr>
            <w:tcW w:type="dxa" w:w="12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4</w:t>
            </w:r>
          </w:p>
        </w:tc>
        <w:tc>
          <w:tcPr>
            <w:tcW w:type="dxa" w:w="12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3</w:t>
            </w:r>
          </w:p>
        </w:tc>
        <w:tc>
          <w:tcPr>
            <w:tcW w:type="dxa" w:w="13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4</w:t>
            </w:r>
          </w:p>
        </w:tc>
        <w:tc>
          <w:tcPr>
            <w:tcW w:type="dxa" w:w="10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3</w:t>
            </w:r>
          </w:p>
        </w:tc>
        <w:tc>
          <w:tcPr>
            <w:tcW w:type="dxa" w:w="1426"/>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14</w:t>
            </w:r>
          </w:p>
        </w:tc>
      </w:tr>
      <w:tr>
        <w:trPr>
          <w:cantSplit/>
          <w:tblHeader w:val="false"/>
        </w:trPr>
        <w:tc>
          <w:tcPr>
            <w:tcW w:type="dxa" w:w="29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C. Predicting emerging ingredient / product trends</w:t>
            </w:r>
          </w:p>
        </w:tc>
        <w:tc>
          <w:tcPr>
            <w:tcW w:type="dxa" w:w="12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4</w:t>
            </w:r>
          </w:p>
        </w:tc>
        <w:tc>
          <w:tcPr>
            <w:tcW w:type="dxa" w:w="12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3</w:t>
            </w:r>
          </w:p>
        </w:tc>
        <w:tc>
          <w:tcPr>
            <w:tcW w:type="dxa" w:w="13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4</w:t>
            </w:r>
          </w:p>
        </w:tc>
        <w:tc>
          <w:tcPr>
            <w:tcW w:type="dxa" w:w="10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3</w:t>
            </w:r>
          </w:p>
        </w:tc>
        <w:tc>
          <w:tcPr>
            <w:tcW w:type="dxa" w:w="14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14</w:t>
            </w:r>
          </w:p>
        </w:tc>
      </w:tr>
      <w:tr>
        <w:trPr>
          <w:cantSplit/>
          <w:tblHeader w:val="false"/>
        </w:trPr>
        <w:tc>
          <w:tcPr>
            <w:tcW w:type="dxa" w:w="29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D. Customer churn / repeat-purchase prediction for a wellness subscription</w:t>
            </w:r>
          </w:p>
        </w:tc>
        <w:tc>
          <w:tcPr>
            <w:tcW w:type="dxa" w:w="12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5</w:t>
            </w:r>
          </w:p>
        </w:tc>
        <w:tc>
          <w:tcPr>
            <w:tcW w:type="dxa" w:w="12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1</w:t>
            </w:r>
          </w:p>
        </w:tc>
        <w:tc>
          <w:tcPr>
            <w:tcW w:type="dxa" w:w="13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4</w:t>
            </w:r>
          </w:p>
        </w:tc>
        <w:tc>
          <w:tcPr>
            <w:tcW w:type="dxa" w:w="10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2</w:t>
            </w:r>
          </w:p>
        </w:tc>
        <w:tc>
          <w:tcPr>
            <w:tcW w:type="dxa" w:w="1426"/>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12</w:t>
            </w:r>
          </w:p>
        </w:tc>
      </w:tr>
      <w:tr>
        <w:trPr>
          <w:cantSplit/>
          <w:tblHeader w:val="false"/>
        </w:trPr>
        <w:tc>
          <w:tcPr>
            <w:tcW w:type="dxa" w:w="29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E. Price and promotion optimization</w:t>
            </w:r>
          </w:p>
        </w:tc>
        <w:tc>
          <w:tcPr>
            <w:tcW w:type="dxa" w:w="12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4</w:t>
            </w:r>
          </w:p>
        </w:tc>
        <w:tc>
          <w:tcPr>
            <w:tcW w:type="dxa" w:w="12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2</w:t>
            </w:r>
          </w:p>
        </w:tc>
        <w:tc>
          <w:tcPr>
            <w:tcW w:type="dxa" w:w="13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3</w:t>
            </w:r>
          </w:p>
        </w:tc>
        <w:tc>
          <w:tcPr>
            <w:tcW w:type="dxa" w:w="10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2</w:t>
            </w:r>
          </w:p>
        </w:tc>
        <w:tc>
          <w:tcPr>
            <w:tcW w:type="dxa" w:w="14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11</w:t>
            </w:r>
          </w:p>
        </w:tc>
      </w:tr>
    </w:tbl>
    <w:p>
      <w:pPr>
        <w:spacing w:after="200" w:before="60"/>
      </w:pPr>
      <w:r>
        <w:rPr>
          <w:i/>
          <w:iCs/>
          <w:color w:val="595959"/>
          <w:sz w:val="18"/>
          <w:szCs w:val="18"/>
        </w:rPr>
        <w:t xml:space="preserve">Table 2. Problem selection matrix. Scores are the author's judgement based on the research in Section 2 and a review of openly available datasets.</w:t>
      </w:r>
    </w:p>
    <w:p>
      <w:pPr>
        <w:pStyle w:val="Heading2"/>
      </w:pPr>
      <w:r>
        <w:t xml:space="preserve">3.2 Decision</w:t>
      </w:r>
    </w:p>
    <w:p>
      <w:pPr>
        <w:spacing w:after="140" w:line="288"/>
      </w:pPr>
      <w:r>
        <w:rPr>
          <w:b/>
          <w:bCs/>
        </w:rPr>
        <w:t xml:space="preserve">Candidate A was selected.</w:t>
      </w:r>
      <w:r>
        <w:t xml:space="preserve"> It scores highest because a rich, open dataset exists (Section 8), the problem maps directly to a commercial pain point, and it naturally combines three data science strands: recommender systems, natural language processing of reviews, and consumer segmentation. Candidates B and C remain useful as extensions: sentiment mining is built into the plan as a feature-generation step rather than a separate project. Candidate D is attractive commercially but requires transaction data that is not public.</w:t>
      </w:r>
    </w:p>
    <w:p>
      <w:pPr>
        <w:pStyle w:val="Heading1"/>
      </w:pPr>
      <w:r>
        <w:t xml:space="preserve">4. Problem Statement, Objectives and Scope</w:t>
      </w:r>
    </w:p>
    <w:p>
      <w:pPr>
        <w:pStyle w:val="Heading2"/>
      </w:pPr>
      <w:r>
        <w:t xml:space="preserve">4.1 Business context</w:t>
      </w:r>
    </w:p>
    <w:p>
      <w:pPr>
        <w:spacing w:after="140" w:line="288"/>
      </w:pPr>
      <w:r>
        <w:t xml:space="preserve">Consider an online beauty retailer with several thousand products, of which around two thousand are skincare items with substantial review volume. A visitor arrives wanting, for example, a moisturizer for dry, sensitive skin under a set budget. The site typically offers filters, best-seller lists and average star ratings. Best-seller lists favour products that suit the majority, average ratings blend the experiences of very different skin types, and brand-new visitors have no history for a personalised model to use.</w:t>
      </w:r>
    </w:p>
    <w:p>
      <w:pPr>
        <w:pStyle w:val="Heading2"/>
      </w:pPr>
      <w:r>
        <w:t xml:space="preserve">4.2 Problem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546B" w:sz="24"/>
              <w:bottom w:val="none" w:color="FFFFFF" w:sz="0"/>
              <w:right w:val="none" w:color="FFFFFF" w:sz="0"/>
            </w:tcBorders>
            <w:shd w:fill="F3E8EB" w:color="auto" w:val="clear"/>
            <w:tcMar>
              <w:top w:type="dxa" w:w="120"/>
              <w:left w:type="dxa" w:w="200"/>
              <w:bottom w:type="dxa" w:w="120"/>
              <w:right w:type="dxa" w:w="200"/>
            </w:tcMar>
          </w:tcPr>
          <w:p>
            <w:pPr>
              <w:spacing w:after="60"/>
            </w:pPr>
            <w:r>
              <w:rPr>
                <w:b/>
                <w:bCs/>
                <w:color w:val="B5546B"/>
              </w:rPr>
              <w:t xml:space="preserve">Formal problem statement</w:t>
            </w:r>
          </w:p>
          <w:p>
            <w:pPr>
              <w:spacing w:line="288"/>
            </w:pPr>
            <w:r>
              <w:t xml:space="preserve">How can an online beauty retailer use product attributes, ingredient lists, reviewer skin-profile information and review text to rank skincare products by likely personal fit, particularly for new users with no purchase history, and to explain each recommendation in customer-friendly terms?</w:t>
            </w:r>
          </w:p>
        </w:tc>
      </w:tr>
    </w:tbl>
    <w:p>
      <w:pPr>
        <w:spacing w:after="80"/>
      </w:pPr>
    </w:p>
    <w:p>
      <w:pPr>
        <w:pStyle w:val="Heading2"/>
      </w:pPr>
      <w:r>
        <w:t xml:space="preserve">4.3 Objectives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5326"/>
        <w:gridCol w:w="2600"/>
      </w:tblGrid>
      <w:tr>
        <w:trPr>
          <w:cantSplit/>
          <w:tblHeader/>
        </w:trPr>
        <w:tc>
          <w:tcPr>
            <w:tcW w:type="dxa" w:w="1100"/>
            <w:tcBorders>
              <w:top w:val="single" w:color="C9C9D1" w:sz="4"/>
              <w:left w:val="single" w:color="C9C9D1" w:sz="4"/>
              <w:bottom w:val="single" w:color="C9C9D1" w:sz="4"/>
              <w:right w:val="single" w:color="C9C9D1" w:sz="4"/>
            </w:tcBorders>
            <w:shd w:fill="1F3A5F" w:color="auto" w:val="clear"/>
            <w:tcMar>
              <w:top w:type="dxa" w:w="70"/>
              <w:left w:type="dxa" w:w="110"/>
              <w:bottom w:type="dxa" w:w="70"/>
              <w:right w:type="dxa" w:w="110"/>
            </w:tcMar>
          </w:tcPr>
          <w:p>
            <w:pPr>
              <w:spacing w:after="30"/>
            </w:pPr>
            <w:r>
              <w:rPr>
                <w:b/>
                <w:bCs/>
                <w:color w:val="FFFFFF"/>
                <w:sz w:val="19"/>
                <w:szCs w:val="19"/>
              </w:rPr>
              <w:t xml:space="preserve">ID</w:t>
            </w:r>
          </w:p>
        </w:tc>
        <w:tc>
          <w:tcPr>
            <w:tcW w:type="dxa" w:w="5326"/>
            <w:tcBorders>
              <w:top w:val="single" w:color="C9C9D1" w:sz="4"/>
              <w:left w:val="single" w:color="C9C9D1" w:sz="4"/>
              <w:bottom w:val="single" w:color="C9C9D1" w:sz="4"/>
              <w:right w:val="single" w:color="C9C9D1" w:sz="4"/>
            </w:tcBorders>
            <w:shd w:fill="1F3A5F" w:color="auto" w:val="clear"/>
            <w:tcMar>
              <w:top w:type="dxa" w:w="70"/>
              <w:left w:type="dxa" w:w="110"/>
              <w:bottom w:type="dxa" w:w="70"/>
              <w:right w:type="dxa" w:w="110"/>
            </w:tcMar>
          </w:tcPr>
          <w:p>
            <w:pPr>
              <w:spacing w:after="30"/>
            </w:pPr>
            <w:r>
              <w:rPr>
                <w:b/>
                <w:bCs/>
                <w:color w:val="FFFFFF"/>
                <w:sz w:val="19"/>
                <w:szCs w:val="19"/>
              </w:rPr>
              <w:t xml:space="preserve">Objective</w:t>
            </w:r>
          </w:p>
        </w:tc>
        <w:tc>
          <w:tcPr>
            <w:tcW w:type="dxa" w:w="2600"/>
            <w:tcBorders>
              <w:top w:val="single" w:color="C9C9D1" w:sz="4"/>
              <w:left w:val="single" w:color="C9C9D1" w:sz="4"/>
              <w:bottom w:val="single" w:color="C9C9D1" w:sz="4"/>
              <w:right w:val="single" w:color="C9C9D1" w:sz="4"/>
            </w:tcBorders>
            <w:shd w:fill="1F3A5F" w:color="auto" w:val="clear"/>
            <w:tcMar>
              <w:top w:type="dxa" w:w="70"/>
              <w:left w:type="dxa" w:w="110"/>
              <w:bottom w:type="dxa" w:w="70"/>
              <w:right w:type="dxa" w:w="110"/>
            </w:tcMar>
          </w:tcPr>
          <w:p>
            <w:pPr>
              <w:spacing w:after="30"/>
            </w:pPr>
            <w:r>
              <w:rPr>
                <w:b/>
                <w:bCs/>
                <w:color w:val="FFFFFF"/>
                <w:sz w:val="19"/>
                <w:szCs w:val="19"/>
              </w:rPr>
              <w:t xml:space="preserve">Measure of success</w:t>
            </w:r>
          </w:p>
        </w:tc>
      </w:tr>
      <w:tr>
        <w:trPr>
          <w:cantSplit/>
          <w:tblHeader w:val="false"/>
        </w:trPr>
        <w:tc>
          <w:tcPr>
            <w:tcW w:type="dxa" w:w="11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O1</w:t>
            </w:r>
          </w:p>
        </w:tc>
        <w:tc>
          <w:tcPr>
            <w:tcW w:type="dxa" w:w="53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Establish transparent baselines (popularity, average-rating and content-based) for skincare recommendation.</w:t>
            </w:r>
          </w:p>
        </w:tc>
        <w:tc>
          <w:tcPr>
            <w:tcW w:type="dxa" w:w="26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Baseline metrics reported with confidence intervals</w:t>
            </w:r>
          </w:p>
        </w:tc>
      </w:tr>
      <w:tr>
        <w:trPr>
          <w:cantSplit/>
          <w:tblHeader w:val="false"/>
        </w:trPr>
        <w:tc>
          <w:tcPr>
            <w:tcW w:type="dxa" w:w="11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O2</w:t>
            </w:r>
          </w:p>
        </w:tc>
        <w:tc>
          <w:tcPr>
            <w:tcW w:type="dxa" w:w="5326"/>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Build a hybrid model that uses skin profile, ingredient and review-derived features.</w:t>
            </w:r>
          </w:p>
        </w:tc>
        <w:tc>
          <w:tcPr>
            <w:tcW w:type="dxa" w:w="26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Statistically significant gain in NDCG@10 over best baseline</w:t>
            </w:r>
          </w:p>
        </w:tc>
      </w:tr>
      <w:tr>
        <w:trPr>
          <w:cantSplit/>
          <w:tblHeader w:val="false"/>
        </w:trPr>
        <w:tc>
          <w:tcPr>
            <w:tcW w:type="dxa" w:w="11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O3</w:t>
            </w:r>
          </w:p>
        </w:tc>
        <w:tc>
          <w:tcPr>
            <w:tcW w:type="dxa" w:w="53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Solve or reduce the cold-start problem for new users using questionnaire-style inputs (skin type, concerns, budget).</w:t>
            </w:r>
          </w:p>
        </w:tc>
        <w:tc>
          <w:tcPr>
            <w:tcW w:type="dxa" w:w="26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Performance on a held-out cold-start user segment</w:t>
            </w:r>
          </w:p>
        </w:tc>
      </w:tr>
      <w:tr>
        <w:trPr>
          <w:cantSplit/>
          <w:tblHeader w:val="false"/>
        </w:trPr>
        <w:tc>
          <w:tcPr>
            <w:tcW w:type="dxa" w:w="11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O4</w:t>
            </w:r>
          </w:p>
        </w:tc>
        <w:tc>
          <w:tcPr>
            <w:tcW w:type="dxa" w:w="5326"/>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Extract aspect-level insights from reviews (e.g., irritation, breakouts, hydration, fragrance) and link them to skin types and ingredients.</w:t>
            </w:r>
          </w:p>
        </w:tc>
        <w:tc>
          <w:tcPr>
            <w:tcW w:type="dxa" w:w="26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Validated aspect labels; documented skin-type × aspect patterns</w:t>
            </w:r>
          </w:p>
        </w:tc>
      </w:tr>
      <w:tr>
        <w:trPr>
          <w:cantSplit/>
          <w:tblHeader w:val="false"/>
        </w:trPr>
        <w:tc>
          <w:tcPr>
            <w:tcW w:type="dxa" w:w="11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O5</w:t>
            </w:r>
          </w:p>
        </w:tc>
        <w:tc>
          <w:tcPr>
            <w:tcW w:type="dxa" w:w="53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Produce explanations for recommendations that a shopper can understand.</w:t>
            </w:r>
          </w:p>
        </w:tc>
        <w:tc>
          <w:tcPr>
            <w:tcW w:type="dxa" w:w="26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Explanation coverage and small qualitative check against reviews</w:t>
            </w:r>
          </w:p>
        </w:tc>
      </w:tr>
      <w:tr>
        <w:trPr>
          <w:cantSplit/>
          <w:tblHeader w:val="false"/>
        </w:trPr>
        <w:tc>
          <w:tcPr>
            <w:tcW w:type="dxa" w:w="11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O6</w:t>
            </w:r>
          </w:p>
        </w:tc>
        <w:tc>
          <w:tcPr>
            <w:tcW w:type="dxa" w:w="5326"/>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Assess diversity and fairness: avoid recommending only best-sellers or ignoring under-represented skin tones and types.</w:t>
            </w:r>
          </w:p>
        </w:tc>
        <w:tc>
          <w:tcPr>
            <w:tcW w:type="dxa" w:w="26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Catalogue coverage; performance by skin type and tone subgroup</w:t>
            </w:r>
          </w:p>
        </w:tc>
      </w:tr>
    </w:tbl>
    <w:p>
      <w:pPr>
        <w:spacing w:after="200" w:before="60"/>
      </w:pPr>
      <w:r>
        <w:rPr>
          <w:i/>
          <w:iCs/>
          <w:color w:val="595959"/>
          <w:sz w:val="18"/>
          <w:szCs w:val="18"/>
        </w:rPr>
        <w:t xml:space="preserve">Table 3. Project objectives and success measures.</w:t>
      </w:r>
    </w:p>
    <w:p>
      <w:pPr>
        <w:pStyle w:val="Heading2"/>
      </w:pPr>
      <w:r>
        <w:t xml:space="preserve">4.4 Scope</w:t>
      </w:r>
    </w:p>
    <w:p>
      <w:pPr>
        <w:spacing w:after="140" w:line="288"/>
      </w:pPr>
      <w:r>
        <w:rPr>
          <w:b/>
          <w:bCs/>
        </w:rPr>
        <w:t xml:space="preserve">In scope:</w:t>
      </w:r>
      <w:r>
        <w:t xml:space="preserve"> skincare products and reviews in the chosen public dataset; offline evaluation; exploratory analysis; model prototypes; a short written interpretation of business impact. </w:t>
      </w:r>
      <w:r>
        <w:rPr>
          <w:b/>
          <w:bCs/>
        </w:rPr>
        <w:t xml:space="preserve">Out of scope:</w:t>
      </w:r>
      <w:r>
        <w:t xml:space="preserve"> live A/B testing, real-time deployment, dermatological or medical claims, and image-based skin analysis. Recommendations produced by this project are decision-support tools and are not medical advice.</w:t>
      </w:r>
    </w:p>
    <w:p>
      <w:pPr>
        <w:pStyle w:val="Heading1"/>
      </w:pPr>
      <w:r>
        <w:t xml:space="preserve">5. Relevance to the Beauty &amp; Wellness Sector</w:t>
      </w:r>
    </w:p>
    <w:p>
      <w:pPr>
        <w:pStyle w:val="Heading3"/>
      </w:pPr>
      <w:r>
        <w:t xml:space="preserve">Commercial relevance</w:t>
      </w:r>
    </w:p>
    <w:p>
      <w:pPr>
        <w:pStyle w:val="ListParagraph"/>
        <w:numPr>
          <w:ilvl w:val="0"/>
          <w:numId w:val="2"/>
        </w:numPr>
        <w:spacing w:after="80" w:line="276"/>
      </w:pPr>
      <w:r>
        <w:rPr>
          <w:b/>
          <w:bCs/>
        </w:rPr>
        <w:t xml:space="preserve">Conversion and basket value:</w:t>
      </w:r>
      <w:r>
        <w:t xml:space="preserve"> better-fitting suggestions shorten the path from browsing to purchase and support routine building (cleanser, serum, moisturizer), which raises basket size.</w:t>
      </w:r>
    </w:p>
    <w:p>
      <w:pPr>
        <w:pStyle w:val="ListParagraph"/>
        <w:numPr>
          <w:ilvl w:val="0"/>
          <w:numId w:val="2"/>
        </w:numPr>
        <w:spacing w:after="80" w:line="276"/>
      </w:pPr>
      <w:r>
        <w:rPr>
          <w:b/>
          <w:bCs/>
        </w:rPr>
        <w:t xml:space="preserve">Return and dissatisfaction reduction:</w:t>
      </w:r>
      <w:r>
        <w:t xml:space="preserve"> products chosen for fit are less likely to cause irritation or disappointment, protecting repeat purchase and brand trust.</w:t>
      </w:r>
    </w:p>
    <w:p>
      <w:pPr>
        <w:pStyle w:val="ListParagraph"/>
        <w:numPr>
          <w:ilvl w:val="0"/>
          <w:numId w:val="2"/>
        </w:numPr>
        <w:spacing w:after="80" w:line="276"/>
      </w:pPr>
      <w:r>
        <w:rPr>
          <w:b/>
          <w:bCs/>
        </w:rPr>
        <w:t xml:space="preserve">Marketing efficiency:</w:t>
      </w:r>
      <w:r>
        <w:t xml:space="preserve"> insight into which skin profiles love or dislike a product informs targeting, creative and product development, at a time when the industry is dealing with higher marketing costs and value scrutiny [1][2].</w:t>
      </w:r>
    </w:p>
    <w:p>
      <w:pPr>
        <w:pStyle w:val="ListParagraph"/>
        <w:numPr>
          <w:ilvl w:val="0"/>
          <w:numId w:val="2"/>
        </w:numPr>
        <w:spacing w:after="80" w:line="276"/>
      </w:pPr>
      <w:r>
        <w:rPr>
          <w:b/>
          <w:bCs/>
        </w:rPr>
        <w:t xml:space="preserve">Long-tail exposure:</w:t>
      </w:r>
      <w:r>
        <w:t xml:space="preserve"> niche and newer brands gain visibility if ranking is not purely popularity-based. This matters because newness and innovation drive category growth.</w:t>
      </w:r>
    </w:p>
    <w:p>
      <w:pPr>
        <w:pStyle w:val="Heading3"/>
      </w:pPr>
      <w:r>
        <w:t xml:space="preserve">Consumer relevance</w:t>
      </w:r>
    </w:p>
    <w:p>
      <w:pPr>
        <w:spacing w:after="140" w:line="288"/>
      </w:pPr>
      <w:r>
        <w:t xml:space="preserve">Consumers describe beauty in terms of confidence and care for body and mind [1]. An advisory experience that respects individual skin needs and clearly explains its reasoning aligns with that outlook far better than a ranked list of best-sellers.</w:t>
      </w:r>
    </w:p>
    <w:p>
      <w:pPr>
        <w:pStyle w:val="Heading3"/>
      </w:pPr>
      <w:r>
        <w:t xml:space="preserve">Marketing and analytic intersection</w:t>
      </w:r>
    </w:p>
    <w:p>
      <w:pPr>
        <w:spacing w:after="140" w:line="288"/>
      </w:pPr>
      <w:r>
        <w:t xml:space="preserve">The project combines marketing insight (segmentation by skin profile, understanding of consumer language and purchase drivers, product positioning) with analytic rigor (leakage-free validation, ablation studies, subgroup analysis and hypothesis tests). Every modelling decision is tied back to a business question.</w:t>
      </w:r>
    </w:p>
    <w:p>
      <w:pPr>
        <w:pStyle w:val="Heading1"/>
      </w:pPr>
      <w:r>
        <w:t xml:space="preserve">6. Academic and Applied Literature Review</w:t>
      </w:r>
    </w:p>
    <w:p>
      <w:pPr>
        <w:spacing w:after="140" w:line="288"/>
      </w:pPr>
      <w:r>
        <w:t xml:space="preserve">The literature falls into four streams. The table summarises what each contributes and how it shapes this project's design; the full references are in Section 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626"/>
      </w:tblGrid>
      <w:tr>
        <w:trPr>
          <w:cantSplit/>
          <w:tblHeader/>
        </w:trPr>
        <w:tc>
          <w:tcPr>
            <w:tcW w:type="dxa" w:w="1900"/>
            <w:tcBorders>
              <w:top w:val="single" w:color="C9C9D1" w:sz="4"/>
              <w:left w:val="single" w:color="C9C9D1" w:sz="4"/>
              <w:bottom w:val="single" w:color="C9C9D1" w:sz="4"/>
              <w:right w:val="single" w:color="C9C9D1" w:sz="4"/>
            </w:tcBorders>
            <w:shd w:fill="1F3A5F" w:color="auto" w:val="clear"/>
            <w:tcMar>
              <w:top w:type="dxa" w:w="70"/>
              <w:left w:type="dxa" w:w="110"/>
              <w:bottom w:type="dxa" w:w="70"/>
              <w:right w:type="dxa" w:w="110"/>
            </w:tcMar>
          </w:tcPr>
          <w:p>
            <w:pPr>
              <w:spacing w:after="30"/>
            </w:pPr>
            <w:r>
              <w:rPr>
                <w:b/>
                <w:bCs/>
                <w:color w:val="FFFFFF"/>
                <w:sz w:val="19"/>
                <w:szCs w:val="19"/>
              </w:rPr>
              <w:t xml:space="preserve">Stream</w:t>
            </w:r>
          </w:p>
        </w:tc>
        <w:tc>
          <w:tcPr>
            <w:tcW w:type="dxa" w:w="3500"/>
            <w:tcBorders>
              <w:top w:val="single" w:color="C9C9D1" w:sz="4"/>
              <w:left w:val="single" w:color="C9C9D1" w:sz="4"/>
              <w:bottom w:val="single" w:color="C9C9D1" w:sz="4"/>
              <w:right w:val="single" w:color="C9C9D1" w:sz="4"/>
            </w:tcBorders>
            <w:shd w:fill="1F3A5F" w:color="auto" w:val="clear"/>
            <w:tcMar>
              <w:top w:type="dxa" w:w="70"/>
              <w:left w:type="dxa" w:w="110"/>
              <w:bottom w:type="dxa" w:w="70"/>
              <w:right w:type="dxa" w:w="110"/>
            </w:tcMar>
          </w:tcPr>
          <w:p>
            <w:pPr>
              <w:spacing w:after="30"/>
            </w:pPr>
            <w:r>
              <w:rPr>
                <w:b/>
                <w:bCs/>
                <w:color w:val="FFFFFF"/>
                <w:sz w:val="19"/>
                <w:szCs w:val="19"/>
              </w:rPr>
              <w:t xml:space="preserve">What is known</w:t>
            </w:r>
          </w:p>
        </w:tc>
        <w:tc>
          <w:tcPr>
            <w:tcW w:type="dxa" w:w="3626"/>
            <w:tcBorders>
              <w:top w:val="single" w:color="C9C9D1" w:sz="4"/>
              <w:left w:val="single" w:color="C9C9D1" w:sz="4"/>
              <w:bottom w:val="single" w:color="C9C9D1" w:sz="4"/>
              <w:right w:val="single" w:color="C9C9D1" w:sz="4"/>
            </w:tcBorders>
            <w:shd w:fill="1F3A5F" w:color="auto" w:val="clear"/>
            <w:tcMar>
              <w:top w:type="dxa" w:w="70"/>
              <w:left w:type="dxa" w:w="110"/>
              <w:bottom w:type="dxa" w:w="70"/>
              <w:right w:type="dxa" w:w="110"/>
            </w:tcMar>
          </w:tcPr>
          <w:p>
            <w:pPr>
              <w:spacing w:after="30"/>
            </w:pPr>
            <w:r>
              <w:rPr>
                <w:b/>
                <w:bCs/>
                <w:color w:val="FFFFFF"/>
                <w:sz w:val="19"/>
                <w:szCs w:val="19"/>
              </w:rPr>
              <w:t xml:space="preserve">Implication for this project</w:t>
            </w:r>
          </w:p>
        </w:tc>
      </w:tr>
      <w:tr>
        <w:trPr>
          <w:cantSplit/>
          <w:tblHeader w:val="false"/>
        </w:trPr>
        <w:tc>
          <w:tcPr>
            <w:tcW w:type="dxa" w:w="19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Recommender foundations</w:t>
            </w:r>
          </w:p>
        </w:tc>
        <w:tc>
          <w:tcPr>
            <w:tcW w:type="dxa" w:w="35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Content-based systems use item attributes [10]; latent-factor matrix factorization is a leading collaborative approach [11]. New users and items lack data, the classic cold-start problem, and hybrid methods that use side information are a standard remedy [12].</w:t>
            </w:r>
          </w:p>
        </w:tc>
        <w:tc>
          <w:tcPr>
            <w:tcW w:type="dxa" w:w="36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Use content and collaborative signals together; treat the new-user segment explicitly.</w:t>
            </w:r>
          </w:p>
        </w:tc>
      </w:tr>
      <w:tr>
        <w:trPr>
          <w:cantSplit/>
          <w:tblHeader w:val="false"/>
        </w:trPr>
        <w:tc>
          <w:tcPr>
            <w:tcW w:type="dxa" w:w="19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Skincare-specific recommenders</w:t>
            </w:r>
          </w:p>
        </w:tc>
        <w:tc>
          <w:tcPr>
            <w:tcW w:type="dxa" w:w="35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Studies use ingredient text from roughly 1,500 Sephora products to build content-based recommenders with ingredient-frequency weighting, reporting acceptable accuracy with small user samples [8]. Deep-learning work combines ingredient analysis with facial skin conditions [6]. Other research derives expert-labelled ingredient-based attributes to enable explainable recommendations [7].</w:t>
            </w:r>
          </w:p>
        </w:tc>
        <w:tc>
          <w:tcPr>
            <w:tcW w:type="dxa" w:w="3626"/>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Ingredients are a legitimate, explainable feature; validation in existing work is often small-scale, so this project will use larger review data and formal offline metrics.</w:t>
            </w:r>
          </w:p>
        </w:tc>
      </w:tr>
      <w:tr>
        <w:trPr>
          <w:cantSplit/>
          <w:tblHeader w:val="false"/>
        </w:trPr>
        <w:tc>
          <w:tcPr>
            <w:tcW w:type="dxa" w:w="19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Cold-start via clustering</w:t>
            </w:r>
          </w:p>
        </w:tc>
        <w:tc>
          <w:tcPr>
            <w:tcW w:type="dxa" w:w="35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A public project on Sephora review data used neural collaborative filtering and clustered users on categorical attributes (skin type, tone, concerns, price band) to assign new users to similar existing users [9].</w:t>
            </w:r>
          </w:p>
        </w:tc>
        <w:tc>
          <w:tcPr>
            <w:tcW w:type="dxa" w:w="36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Profile-based user cohorts are a practical cold-start baseline to reproduce and improve on.</w:t>
            </w:r>
          </w:p>
        </w:tc>
      </w:tr>
      <w:tr>
        <w:trPr>
          <w:cantSplit/>
          <w:tblHeader w:val="false"/>
        </w:trPr>
        <w:tc>
          <w:tcPr>
            <w:tcW w:type="dxa" w:w="19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Review text and sentiment</w:t>
            </w:r>
          </w:p>
        </w:tc>
        <w:tc>
          <w:tcPr>
            <w:tcW w:type="dxa" w:w="35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Lexicon-based tools such as VADER are designed for social-media-style text and give strong baselines [13]; transformer-based aspect and topic methods can add nuance.</w:t>
            </w:r>
          </w:p>
        </w:tc>
        <w:tc>
          <w:tcPr>
            <w:tcW w:type="dxa" w:w="3626"/>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Start with lexicon baselines, compare with embedding-based topic and aspect methods.</w:t>
            </w:r>
          </w:p>
        </w:tc>
      </w:tr>
    </w:tbl>
    <w:p>
      <w:pPr>
        <w:spacing w:after="200" w:before="60"/>
      </w:pPr>
      <w:r>
        <w:rPr>
          <w:i/>
          <w:iCs/>
          <w:color w:val="595959"/>
          <w:sz w:val="18"/>
          <w:szCs w:val="18"/>
        </w:rPr>
        <w:t xml:space="preserve">Table 4. Literature synthesis. Bracketed numbers refer to Section 14.</w:t>
      </w:r>
    </w:p>
    <w:p>
      <w:pPr>
        <w:pStyle w:val="Heading3"/>
      </w:pPr>
      <w:r>
        <w:t xml:space="preserve">Gaps this project targets</w:t>
      </w:r>
    </w:p>
    <w:p>
      <w:pPr>
        <w:pStyle w:val="ListParagraph"/>
        <w:numPr>
          <w:ilvl w:val="0"/>
          <w:numId w:val="2"/>
        </w:numPr>
        <w:spacing w:after="80" w:line="276"/>
      </w:pPr>
      <w:r>
        <w:t xml:space="preserve">Many skincare recommender studies validate on small samples or with satisfaction surveys; few report ranking metrics on large review corpora with time-aware splits.</w:t>
      </w:r>
    </w:p>
    <w:p>
      <w:pPr>
        <w:pStyle w:val="ListParagraph"/>
        <w:numPr>
          <w:ilvl w:val="0"/>
          <w:numId w:val="2"/>
        </w:numPr>
        <w:spacing w:after="80" w:line="276"/>
      </w:pPr>
      <w:r>
        <w:t xml:space="preserve">Star ratings are rarely disaggregated by reviewer skin profile, so </w:t>
      </w:r>
      <w:r>
        <w:rPr>
          <w:b/>
          <w:bCs/>
        </w:rPr>
        <w:t xml:space="preserve">who a product works for</w:t>
      </w:r>
      <w:r>
        <w:t xml:space="preserve"> is under-analysed.</w:t>
      </w:r>
    </w:p>
    <w:p>
      <w:pPr>
        <w:pStyle w:val="ListParagraph"/>
        <w:numPr>
          <w:ilvl w:val="0"/>
          <w:numId w:val="2"/>
        </w:numPr>
        <w:spacing w:after="80" w:line="276"/>
      </w:pPr>
      <w:r>
        <w:t xml:space="preserve">Fairness and coverage across skin tones and long-tail products are seldom examined.</w:t>
      </w:r>
    </w:p>
    <w:p>
      <w:pPr>
        <w:pStyle w:val="ListParagraph"/>
        <w:numPr>
          <w:ilvl w:val="0"/>
          <w:numId w:val="2"/>
        </w:numPr>
        <w:spacing w:after="80" w:line="276"/>
      </w:pPr>
      <w:r>
        <w:t xml:space="preserve">Explanations are often descriptive rather than grounded in evidence from similar reviewers.</w:t>
      </w:r>
    </w:p>
    <w:p>
      <w:pPr>
        <w:pStyle w:val="Heading1"/>
      </w:pPr>
      <w:r>
        <w:t xml:space="preserve">7. Research Questions and Hypotheses</w:t>
      </w:r>
    </w:p>
    <w:p>
      <w:pPr>
        <w:spacing w:after="140" w:line="288"/>
      </w:pPr>
      <w:r>
        <w:t xml:space="preserve">A primary question guides the project, supported by six sub-questions. Each has a directional hypothesis (H) and a null hypothesis (H0), an evidence source and a planned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546B" w:sz="24"/>
              <w:bottom w:val="none" w:color="FFFFFF" w:sz="0"/>
              <w:right w:val="none" w:color="FFFFFF" w:sz="0"/>
            </w:tcBorders>
            <w:shd w:fill="F3E8EB" w:color="auto" w:val="clear"/>
            <w:tcMar>
              <w:top w:type="dxa" w:w="120"/>
              <w:left w:type="dxa" w:w="200"/>
              <w:bottom w:type="dxa" w:w="120"/>
              <w:right w:type="dxa" w:w="200"/>
            </w:tcMar>
          </w:tcPr>
          <w:p>
            <w:pPr>
              <w:spacing w:after="60"/>
            </w:pPr>
            <w:r>
              <w:rPr>
                <w:b/>
                <w:bCs/>
                <w:color w:val="B5546B"/>
              </w:rPr>
              <w:t xml:space="preserve">Primary research question</w:t>
            </w:r>
          </w:p>
          <w:p>
            <w:pPr>
              <w:spacing w:line="288"/>
            </w:pPr>
            <w:r>
              <w:t xml:space="preserve">To what extent does adding skin-profile, ingredient and review-derived information improve the ranking of skincare products over popularity-based and average-rating approaches, especially for new users?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3126"/>
        <w:gridCol w:w="2700"/>
      </w:tblGrid>
      <w:tr>
        <w:trPr>
          <w:cantSplit/>
          <w:tblHeader/>
        </w:trPr>
        <w:tc>
          <w:tcPr>
            <w:tcW w:type="dxa" w:w="700"/>
            <w:tcBorders>
              <w:top w:val="single" w:color="C9C9D1" w:sz="4"/>
              <w:left w:val="single" w:color="C9C9D1" w:sz="4"/>
              <w:bottom w:val="single" w:color="C9C9D1" w:sz="4"/>
              <w:right w:val="single" w:color="C9C9D1" w:sz="4"/>
            </w:tcBorders>
            <w:shd w:fill="1F3A5F" w:color="auto" w:val="clear"/>
            <w:tcMar>
              <w:top w:type="dxa" w:w="70"/>
              <w:left w:type="dxa" w:w="110"/>
              <w:bottom w:type="dxa" w:w="70"/>
              <w:right w:type="dxa" w:w="110"/>
            </w:tcMar>
          </w:tcPr>
          <w:p>
            <w:pPr>
              <w:spacing w:after="30"/>
            </w:pPr>
            <w:r>
              <w:rPr>
                <w:b/>
                <w:bCs/>
                <w:color w:val="FFFFFF"/>
                <w:sz w:val="19"/>
                <w:szCs w:val="19"/>
              </w:rPr>
              <w:t xml:space="preserve">ID</w:t>
            </w:r>
          </w:p>
        </w:tc>
        <w:tc>
          <w:tcPr>
            <w:tcW w:type="dxa" w:w="2500"/>
            <w:tcBorders>
              <w:top w:val="single" w:color="C9C9D1" w:sz="4"/>
              <w:left w:val="single" w:color="C9C9D1" w:sz="4"/>
              <w:bottom w:val="single" w:color="C9C9D1" w:sz="4"/>
              <w:right w:val="single" w:color="C9C9D1" w:sz="4"/>
            </w:tcBorders>
            <w:shd w:fill="1F3A5F" w:color="auto" w:val="clear"/>
            <w:tcMar>
              <w:top w:type="dxa" w:w="70"/>
              <w:left w:type="dxa" w:w="110"/>
              <w:bottom w:type="dxa" w:w="70"/>
              <w:right w:type="dxa" w:w="110"/>
            </w:tcMar>
          </w:tcPr>
          <w:p>
            <w:pPr>
              <w:spacing w:after="30"/>
            </w:pPr>
            <w:r>
              <w:rPr>
                <w:b/>
                <w:bCs/>
                <w:color w:val="FFFFFF"/>
                <w:sz w:val="19"/>
                <w:szCs w:val="19"/>
              </w:rPr>
              <w:t xml:space="preserve">Research question</w:t>
            </w:r>
          </w:p>
        </w:tc>
        <w:tc>
          <w:tcPr>
            <w:tcW w:type="dxa" w:w="3126"/>
            <w:tcBorders>
              <w:top w:val="single" w:color="C9C9D1" w:sz="4"/>
              <w:left w:val="single" w:color="C9C9D1" w:sz="4"/>
              <w:bottom w:val="single" w:color="C9C9D1" w:sz="4"/>
              <w:right w:val="single" w:color="C9C9D1" w:sz="4"/>
            </w:tcBorders>
            <w:shd w:fill="1F3A5F" w:color="auto" w:val="clear"/>
            <w:tcMar>
              <w:top w:type="dxa" w:w="70"/>
              <w:left w:type="dxa" w:w="110"/>
              <w:bottom w:type="dxa" w:w="70"/>
              <w:right w:type="dxa" w:w="110"/>
            </w:tcMar>
          </w:tcPr>
          <w:p>
            <w:pPr>
              <w:spacing w:after="30"/>
            </w:pPr>
            <w:r>
              <w:rPr>
                <w:b/>
                <w:bCs/>
                <w:color w:val="FFFFFF"/>
                <w:sz w:val="19"/>
                <w:szCs w:val="19"/>
              </w:rPr>
              <w:t xml:space="preserve">Hypothesis (H) / Null (H0)</w:t>
            </w:r>
          </w:p>
        </w:tc>
        <w:tc>
          <w:tcPr>
            <w:tcW w:type="dxa" w:w="2700"/>
            <w:tcBorders>
              <w:top w:val="single" w:color="C9C9D1" w:sz="4"/>
              <w:left w:val="single" w:color="C9C9D1" w:sz="4"/>
              <w:bottom w:val="single" w:color="C9C9D1" w:sz="4"/>
              <w:right w:val="single" w:color="C9C9D1" w:sz="4"/>
            </w:tcBorders>
            <w:shd w:fill="1F3A5F" w:color="auto" w:val="clear"/>
            <w:tcMar>
              <w:top w:type="dxa" w:w="70"/>
              <w:left w:type="dxa" w:w="110"/>
              <w:bottom w:type="dxa" w:w="70"/>
              <w:right w:type="dxa" w:w="110"/>
            </w:tcMar>
          </w:tcPr>
          <w:p>
            <w:pPr>
              <w:spacing w:after="30"/>
            </w:pPr>
            <w:r>
              <w:rPr>
                <w:b/>
                <w:bCs/>
                <w:color w:val="FFFFFF"/>
                <w:sz w:val="19"/>
                <w:szCs w:val="19"/>
              </w:rPr>
              <w:t xml:space="preserve">Planned test</w:t>
            </w:r>
          </w:p>
        </w:tc>
      </w:tr>
      <w:tr>
        <w:trPr>
          <w:cantSplit/>
          <w:tblHeader w:val="false"/>
        </w:trPr>
        <w:tc>
          <w:tcPr>
            <w:tcW w:type="dxa" w:w="7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RQ1</w:t>
            </w:r>
          </w:p>
        </w:tc>
        <w:tc>
          <w:tcPr>
            <w:tcW w:type="dxa" w:w="25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Does a hybrid model outperform a popularity baseline in ranking quality?</w:t>
            </w:r>
          </w:p>
        </w:tc>
        <w:tc>
          <w:tcPr>
            <w:tcW w:type="dxa" w:w="31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H1: Hybrid NDCG@10 is higher than popularity.</w:t>
            </w:r>
          </w:p>
          <w:p>
            <w:pPr>
              <w:spacing w:after="30"/>
            </w:pPr>
            <w:r>
              <w:rPr>
                <w:sz w:val="19"/>
                <w:szCs w:val="19"/>
              </w:rPr>
              <w:t xml:space="preserve">H0: No difference.</w:t>
            </w:r>
          </w:p>
        </w:tc>
        <w:tc>
          <w:tcPr>
            <w:tcW w:type="dxa" w:w="27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Paired bootstrap over users; Wilcoxon signed-rank on per-user NDCG</w:t>
            </w:r>
          </w:p>
        </w:tc>
      </w:tr>
      <w:tr>
        <w:trPr>
          <w:cantSplit/>
          <w:tblHeader w:val="false"/>
        </w:trPr>
        <w:tc>
          <w:tcPr>
            <w:tcW w:type="dxa" w:w="7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RQ2</w:t>
            </w:r>
          </w:p>
        </w:tc>
        <w:tc>
          <w:tcPr>
            <w:tcW w:type="dxa" w:w="25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Do skin-profile features improve recommendations for cold-start users?</w:t>
            </w:r>
          </w:p>
        </w:tc>
        <w:tc>
          <w:tcPr>
            <w:tcW w:type="dxa" w:w="3126"/>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H2: Profile-aware ranking beats non-personalized ranking for users with no prior reviews.</w:t>
            </w:r>
          </w:p>
          <w:p>
            <w:pPr>
              <w:spacing w:after="30"/>
            </w:pPr>
            <w:r>
              <w:rPr>
                <w:sz w:val="19"/>
                <w:szCs w:val="19"/>
              </w:rPr>
              <w:t xml:space="preserve">H0: No improvement.</w:t>
            </w:r>
          </w:p>
        </w:tc>
        <w:tc>
          <w:tcPr>
            <w:tcW w:type="dxa" w:w="27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Cold-start holdout; compare Recall@10 with confidence intervals</w:t>
            </w:r>
          </w:p>
        </w:tc>
      </w:tr>
      <w:tr>
        <w:trPr>
          <w:cantSplit/>
          <w:tblHeader w:val="false"/>
        </w:trPr>
        <w:tc>
          <w:tcPr>
            <w:tcW w:type="dxa" w:w="7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RQ3</w:t>
            </w:r>
          </w:p>
        </w:tc>
        <w:tc>
          <w:tcPr>
            <w:tcW w:type="dxa" w:w="25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Do ingredient-derived features add predictive value beyond price, brand and category?</w:t>
            </w:r>
          </w:p>
        </w:tc>
        <w:tc>
          <w:tcPr>
            <w:tcW w:type="dxa" w:w="31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H3: Adding ingredient features reduces rating-prediction error or raises recommendation AUC.</w:t>
            </w:r>
          </w:p>
          <w:p>
            <w:pPr>
              <w:spacing w:after="30"/>
            </w:pPr>
            <w:r>
              <w:rPr>
                <w:sz w:val="19"/>
                <w:szCs w:val="19"/>
              </w:rPr>
              <w:t xml:space="preserve">H0: No gain.</w:t>
            </w:r>
          </w:p>
        </w:tc>
        <w:tc>
          <w:tcPr>
            <w:tcW w:type="dxa" w:w="27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Ablation study; DeLong test for AUC; cross-validated RMSE differences</w:t>
            </w:r>
          </w:p>
        </w:tc>
      </w:tr>
      <w:tr>
        <w:trPr>
          <w:cantSplit/>
          <w:tblHeader w:val="false"/>
        </w:trPr>
        <w:tc>
          <w:tcPr>
            <w:tcW w:type="dxa" w:w="7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RQ4</w:t>
            </w:r>
          </w:p>
        </w:tc>
        <w:tc>
          <w:tcPr>
            <w:tcW w:type="dxa" w:w="25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Does product fit vary by skin type, so that average ratings hide meaningful differences?</w:t>
            </w:r>
          </w:p>
        </w:tc>
        <w:tc>
          <w:tcPr>
            <w:tcW w:type="dxa" w:w="3126"/>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H4: For a significant share of products, mean rating differs by reviewer skin type.</w:t>
            </w:r>
          </w:p>
          <w:p>
            <w:pPr>
              <w:spacing w:after="30"/>
            </w:pPr>
            <w:r>
              <w:rPr>
                <w:sz w:val="19"/>
                <w:szCs w:val="19"/>
              </w:rPr>
              <w:t xml:space="preserve">H0: Ratings are independent of skin type.</w:t>
            </w:r>
          </w:p>
        </w:tc>
        <w:tc>
          <w:tcPr>
            <w:tcW w:type="dxa" w:w="27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ANOVA / Kruskal-Wallis with multiple-comparison correction (e.g., Benjamini-Hochberg); effect sizes</w:t>
            </w:r>
          </w:p>
        </w:tc>
      </w:tr>
      <w:tr>
        <w:trPr>
          <w:cantSplit/>
          <w:tblHeader w:val="false"/>
        </w:trPr>
        <w:tc>
          <w:tcPr>
            <w:tcW w:type="dxa" w:w="7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RQ5</w:t>
            </w:r>
          </w:p>
        </w:tc>
        <w:tc>
          <w:tcPr>
            <w:tcW w:type="dxa" w:w="25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Do review-text aspects (irritation, breakouts, hydration, scent) explain non-recommendation beyond star rating?</w:t>
            </w:r>
          </w:p>
        </w:tc>
        <w:tc>
          <w:tcPr>
            <w:tcW w:type="dxa" w:w="31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H5: Negative aspect mentions increase the odds of a non-recommendation after controlling for rating.</w:t>
            </w:r>
          </w:p>
          <w:p>
            <w:pPr>
              <w:spacing w:after="30"/>
            </w:pPr>
            <w:r>
              <w:rPr>
                <w:sz w:val="19"/>
                <w:szCs w:val="19"/>
              </w:rPr>
              <w:t xml:space="preserve">H0: No added effect.</w:t>
            </w:r>
          </w:p>
        </w:tc>
        <w:tc>
          <w:tcPr>
            <w:tcW w:type="dxa" w:w="27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Logistic regression with aspect flags; likelihood-ratio test</w:t>
            </w:r>
          </w:p>
        </w:tc>
      </w:tr>
      <w:tr>
        <w:trPr>
          <w:cantSplit/>
          <w:tblHeader w:val="false"/>
        </w:trPr>
        <w:tc>
          <w:tcPr>
            <w:tcW w:type="dxa" w:w="7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RQ6</w:t>
            </w:r>
          </w:p>
        </w:tc>
        <w:tc>
          <w:tcPr>
            <w:tcW w:type="dxa" w:w="25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Does the hybrid model widen catalogue coverage and serve all skin-tone groups fairly?</w:t>
            </w:r>
          </w:p>
        </w:tc>
        <w:tc>
          <w:tcPr>
            <w:tcW w:type="dxa" w:w="3126"/>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H6: Hybrid coverage exceeds popularity coverage, and metric gaps across tone groups are small.</w:t>
            </w:r>
          </w:p>
          <w:p>
            <w:pPr>
              <w:spacing w:after="30"/>
            </w:pPr>
            <w:r>
              <w:rPr>
                <w:sz w:val="19"/>
                <w:szCs w:val="19"/>
              </w:rPr>
              <w:t xml:space="preserve">H0: No coverage gain or large subgroup gaps.</w:t>
            </w:r>
          </w:p>
        </w:tc>
        <w:tc>
          <w:tcPr>
            <w:tcW w:type="dxa" w:w="27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Coverage and diversity metrics; subgroup metric gap with bootstrap intervals</w:t>
            </w:r>
          </w:p>
        </w:tc>
      </w:tr>
    </w:tbl>
    <w:p>
      <w:pPr>
        <w:spacing w:after="200" w:before="60"/>
      </w:pPr>
      <w:r>
        <w:rPr>
          <w:i/>
          <w:iCs/>
          <w:color w:val="595959"/>
          <w:sz w:val="18"/>
          <w:szCs w:val="18"/>
        </w:rPr>
        <w:t xml:space="preserve">Table 5. Research questions, hypotheses and tests. Directional hypotheses are working expectations and may be revised after exploratory analysis; results, including negative ones, will be reported.</w:t>
      </w:r>
    </w:p>
    <w:p>
      <w:pPr>
        <w:pStyle w:val="Heading3"/>
      </w:pPr>
      <w:r>
        <w:t xml:space="preserve">Reasoning behind the hypotheses</w:t>
      </w:r>
    </w:p>
    <w:p>
      <w:pPr>
        <w:pStyle w:val="ListParagraph"/>
        <w:numPr>
          <w:ilvl w:val="0"/>
          <w:numId w:val="2"/>
        </w:numPr>
        <w:spacing w:after="80" w:line="276"/>
      </w:pPr>
      <w:r>
        <w:rPr>
          <w:b/>
          <w:bCs/>
        </w:rPr>
        <w:t xml:space="preserve">H1 and H2</w:t>
      </w:r>
      <w:r>
        <w:t xml:space="preserve"> follow from the standard finding that side information helps where interaction data is thin [12].</w:t>
      </w:r>
    </w:p>
    <w:p>
      <w:pPr>
        <w:pStyle w:val="ListParagraph"/>
        <w:numPr>
          <w:ilvl w:val="0"/>
          <w:numId w:val="2"/>
        </w:numPr>
        <w:spacing w:after="80" w:line="276"/>
      </w:pPr>
      <w:r>
        <w:rPr>
          <w:b/>
          <w:bCs/>
        </w:rPr>
        <w:t xml:space="preserve">H3</w:t>
      </w:r>
      <w:r>
        <w:t xml:space="preserve"> reflects the ingredient-driven approaches in prior skincare work [7][8], but the added value beyond brand and price is an open empirical question.</w:t>
      </w:r>
    </w:p>
    <w:p>
      <w:pPr>
        <w:pStyle w:val="ListParagraph"/>
        <w:numPr>
          <w:ilvl w:val="0"/>
          <w:numId w:val="2"/>
        </w:numPr>
        <w:spacing w:after="80" w:line="276"/>
      </w:pPr>
      <w:r>
        <w:rPr>
          <w:b/>
          <w:bCs/>
        </w:rPr>
        <w:t xml:space="preserve">H4 and H5</w:t>
      </w:r>
      <w:r>
        <w:t xml:space="preserve"> encode the marketing intuition that an average score conceals heterogeneity: a rich moisturizer may delight dry-skin users and disappoint oily-skin users.</w:t>
      </w:r>
    </w:p>
    <w:p>
      <w:pPr>
        <w:pStyle w:val="ListParagraph"/>
        <w:numPr>
          <w:ilvl w:val="0"/>
          <w:numId w:val="2"/>
        </w:numPr>
        <w:spacing w:after="80" w:line="276"/>
      </w:pPr>
      <w:r>
        <w:rPr>
          <w:b/>
          <w:bCs/>
        </w:rPr>
        <w:t xml:space="preserve">H6</w:t>
      </w:r>
      <w:r>
        <w:t xml:space="preserve"> addresses the popularity bias typical of ranking systems and the ethical need to serve diverse users.</w:t>
      </w:r>
    </w:p>
    <w:p>
      <w:pPr>
        <w:pStyle w:val="Heading1"/>
      </w:pPr>
      <w:r>
        <w:t xml:space="preserve">8. Variables and Data Sources</w:t>
      </w:r>
    </w:p>
    <w:p>
      <w:pPr>
        <w:pStyle w:val="Heading2"/>
      </w:pPr>
      <w:r>
        <w:t xml:space="preserve">8.1 Primary dataset</w:t>
      </w:r>
    </w:p>
    <w:p>
      <w:pPr>
        <w:spacing w:after="140" w:line="288"/>
      </w:pPr>
      <w:r>
        <w:t xml:space="preserve">The primary data source is the openly available Sephora Products and Skincare Reviews dataset on Kaggle, which is described as covering over 8,000 beauty products (with names, brands, prices, ingredients, ratings and features) and about one million reviews across more than 2,000 skincare products, including reviewer appearance attributes and review ratings [5]. Fields listed below follow the dataset documentation and common usage and </w:t>
      </w:r>
      <w:r>
        <w:rPr>
          <w:b/>
          <w:bCs/>
        </w:rPr>
        <w:t xml:space="preserve">will be verified during Week 2 data profiling</w:t>
      </w:r>
      <w:r>
        <w:t xml:space="preserve">. The licence and terms of use must be confirmed before use in any published work.</w:t>
      </w:r>
    </w:p>
    <w:p>
      <w:pPr>
        <w:pStyle w:val="Heading2"/>
      </w:pPr>
      <w:r>
        <w:t xml:space="preserve">8.2 Variable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126"/>
        <w:gridCol w:w="1500"/>
        <w:gridCol w:w="2500"/>
      </w:tblGrid>
      <w:tr>
        <w:trPr>
          <w:cantSplit/>
          <w:tblHeader/>
        </w:trPr>
        <w:tc>
          <w:tcPr>
            <w:tcW w:type="dxa" w:w="1900"/>
            <w:tcBorders>
              <w:top w:val="single" w:color="C9C9D1" w:sz="4"/>
              <w:left w:val="single" w:color="C9C9D1" w:sz="4"/>
              <w:bottom w:val="single" w:color="C9C9D1" w:sz="4"/>
              <w:right w:val="single" w:color="C9C9D1" w:sz="4"/>
            </w:tcBorders>
            <w:shd w:fill="1F3A5F" w:color="auto" w:val="clear"/>
            <w:tcMar>
              <w:top w:type="dxa" w:w="70"/>
              <w:left w:type="dxa" w:w="110"/>
              <w:bottom w:type="dxa" w:w="70"/>
              <w:right w:type="dxa" w:w="110"/>
            </w:tcMar>
          </w:tcPr>
          <w:p>
            <w:pPr>
              <w:spacing w:after="30"/>
            </w:pPr>
            <w:r>
              <w:rPr>
                <w:b/>
                <w:bCs/>
                <w:color w:val="FFFFFF"/>
                <w:sz w:val="19"/>
                <w:szCs w:val="19"/>
              </w:rPr>
              <w:t xml:space="preserve">Group</w:t>
            </w:r>
          </w:p>
        </w:tc>
        <w:tc>
          <w:tcPr>
            <w:tcW w:type="dxa" w:w="3126"/>
            <w:tcBorders>
              <w:top w:val="single" w:color="C9C9D1" w:sz="4"/>
              <w:left w:val="single" w:color="C9C9D1" w:sz="4"/>
              <w:bottom w:val="single" w:color="C9C9D1" w:sz="4"/>
              <w:right w:val="single" w:color="C9C9D1" w:sz="4"/>
            </w:tcBorders>
            <w:shd w:fill="1F3A5F" w:color="auto" w:val="clear"/>
            <w:tcMar>
              <w:top w:type="dxa" w:w="70"/>
              <w:left w:type="dxa" w:w="110"/>
              <w:bottom w:type="dxa" w:w="70"/>
              <w:right w:type="dxa" w:w="110"/>
            </w:tcMar>
          </w:tcPr>
          <w:p>
            <w:pPr>
              <w:spacing w:after="30"/>
            </w:pPr>
            <w:r>
              <w:rPr>
                <w:b/>
                <w:bCs/>
                <w:color w:val="FFFFFF"/>
                <w:sz w:val="19"/>
                <w:szCs w:val="19"/>
              </w:rPr>
              <w:t xml:space="preserve">Variables (illustrative)</w:t>
            </w:r>
          </w:p>
        </w:tc>
        <w:tc>
          <w:tcPr>
            <w:tcW w:type="dxa" w:w="1500"/>
            <w:tcBorders>
              <w:top w:val="single" w:color="C9C9D1" w:sz="4"/>
              <w:left w:val="single" w:color="C9C9D1" w:sz="4"/>
              <w:bottom w:val="single" w:color="C9C9D1" w:sz="4"/>
              <w:right w:val="single" w:color="C9C9D1" w:sz="4"/>
            </w:tcBorders>
            <w:shd w:fill="1F3A5F" w:color="auto" w:val="clear"/>
            <w:tcMar>
              <w:top w:type="dxa" w:w="70"/>
              <w:left w:type="dxa" w:w="110"/>
              <w:bottom w:type="dxa" w:w="70"/>
              <w:right w:type="dxa" w:w="110"/>
            </w:tcMar>
          </w:tcPr>
          <w:p>
            <w:pPr>
              <w:spacing w:after="30"/>
            </w:pPr>
            <w:r>
              <w:rPr>
                <w:b/>
                <w:bCs/>
                <w:color w:val="FFFFFF"/>
                <w:sz w:val="19"/>
                <w:szCs w:val="19"/>
              </w:rPr>
              <w:t xml:space="preserve">Type</w:t>
            </w:r>
          </w:p>
        </w:tc>
        <w:tc>
          <w:tcPr>
            <w:tcW w:type="dxa" w:w="2500"/>
            <w:tcBorders>
              <w:top w:val="single" w:color="C9C9D1" w:sz="4"/>
              <w:left w:val="single" w:color="C9C9D1" w:sz="4"/>
              <w:bottom w:val="single" w:color="C9C9D1" w:sz="4"/>
              <w:right w:val="single" w:color="C9C9D1" w:sz="4"/>
            </w:tcBorders>
            <w:shd w:fill="1F3A5F" w:color="auto" w:val="clear"/>
            <w:tcMar>
              <w:top w:type="dxa" w:w="70"/>
              <w:left w:type="dxa" w:w="110"/>
              <w:bottom w:type="dxa" w:w="70"/>
              <w:right w:type="dxa" w:w="110"/>
            </w:tcMar>
          </w:tcPr>
          <w:p>
            <w:pPr>
              <w:spacing w:after="30"/>
            </w:pPr>
            <w:r>
              <w:rPr>
                <w:b/>
                <w:bCs/>
                <w:color w:val="FFFFFF"/>
                <w:sz w:val="19"/>
                <w:szCs w:val="19"/>
              </w:rPr>
              <w:t xml:space="preserve">Role in analysis</w:t>
            </w:r>
          </w:p>
        </w:tc>
      </w:tr>
      <w:tr>
        <w:trPr>
          <w:cantSplit/>
          <w:tblHeader w:val="false"/>
        </w:trPr>
        <w:tc>
          <w:tcPr>
            <w:tcW w:type="dxa" w:w="19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Product identity</w:t>
            </w:r>
          </w:p>
        </w:tc>
        <w:tc>
          <w:tcPr>
            <w:tcW w:type="dxa" w:w="31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product ID, name, brand, category hierarchy (primary / secondary / tertiary)</w:t>
            </w:r>
          </w:p>
        </w:tc>
        <w:tc>
          <w:tcPr>
            <w:tcW w:type="dxa" w:w="15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Categorical</w:t>
            </w:r>
          </w:p>
        </w:tc>
        <w:tc>
          <w:tcPr>
            <w:tcW w:type="dxa" w:w="25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Item key, grouping, content features</w:t>
            </w:r>
          </w:p>
        </w:tc>
      </w:tr>
      <w:tr>
        <w:trPr>
          <w:cantSplit/>
          <w:tblHeader w:val="false"/>
        </w:trPr>
        <w:tc>
          <w:tcPr>
            <w:tcW w:type="dxa" w:w="19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Product commercial</w:t>
            </w:r>
          </w:p>
        </w:tc>
        <w:tc>
          <w:tcPr>
            <w:tcW w:type="dxa" w:w="3126"/>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price, sale price, size, love count, new / limited edition / online-only / exclusive flags, out-of-stock</w:t>
            </w:r>
          </w:p>
        </w:tc>
        <w:tc>
          <w:tcPr>
            <w:tcW w:type="dxa" w:w="15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Numeric / binary</w:t>
            </w:r>
          </w:p>
        </w:tc>
        <w:tc>
          <w:tcPr>
            <w:tcW w:type="dxa" w:w="25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Budget filter, popularity baseline, controls</w:t>
            </w:r>
          </w:p>
        </w:tc>
      </w:tr>
      <w:tr>
        <w:trPr>
          <w:cantSplit/>
          <w:tblHeader w:val="false"/>
        </w:trPr>
        <w:tc>
          <w:tcPr>
            <w:tcW w:type="dxa" w:w="19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Product content</w:t>
            </w:r>
          </w:p>
        </w:tc>
        <w:tc>
          <w:tcPr>
            <w:tcW w:type="dxa" w:w="31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ingredient list, highlights, description</w:t>
            </w:r>
          </w:p>
        </w:tc>
        <w:tc>
          <w:tcPr>
            <w:tcW w:type="dxa" w:w="15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Text</w:t>
            </w:r>
          </w:p>
        </w:tc>
        <w:tc>
          <w:tcPr>
            <w:tcW w:type="dxa" w:w="25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Ingredient vectors, claim tags, content-based similarity</w:t>
            </w:r>
          </w:p>
        </w:tc>
      </w:tr>
      <w:tr>
        <w:trPr>
          <w:cantSplit/>
          <w:tblHeader w:val="false"/>
        </w:trPr>
        <w:tc>
          <w:tcPr>
            <w:tcW w:type="dxa" w:w="19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Review outcome</w:t>
            </w:r>
          </w:p>
        </w:tc>
        <w:tc>
          <w:tcPr>
            <w:tcW w:type="dxa" w:w="3126"/>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star rating (1–5), recommended flag, helpfulness votes</w:t>
            </w:r>
          </w:p>
        </w:tc>
        <w:tc>
          <w:tcPr>
            <w:tcW w:type="dxa" w:w="15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Ordinal / binary / count</w:t>
            </w:r>
          </w:p>
        </w:tc>
        <w:tc>
          <w:tcPr>
            <w:tcW w:type="dxa" w:w="25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Targets and quality weights</w:t>
            </w:r>
          </w:p>
        </w:tc>
      </w:tr>
      <w:tr>
        <w:trPr>
          <w:cantSplit/>
          <w:tblHeader w:val="false"/>
        </w:trPr>
        <w:tc>
          <w:tcPr>
            <w:tcW w:type="dxa" w:w="19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Reviewer profile</w:t>
            </w:r>
          </w:p>
        </w:tc>
        <w:tc>
          <w:tcPr>
            <w:tcW w:type="dxa" w:w="31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skin type, skin tone, eye colour, hair colour (when disclosed)</w:t>
            </w:r>
          </w:p>
        </w:tc>
        <w:tc>
          <w:tcPr>
            <w:tcW w:type="dxa" w:w="15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Categorical</w:t>
            </w:r>
          </w:p>
        </w:tc>
        <w:tc>
          <w:tcPr>
            <w:tcW w:type="dxa" w:w="25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Cold-start features, segmentation, fairness subgroups</w:t>
            </w:r>
          </w:p>
        </w:tc>
      </w:tr>
      <w:tr>
        <w:trPr>
          <w:cantSplit/>
          <w:tblHeader w:val="false"/>
        </w:trPr>
        <w:tc>
          <w:tcPr>
            <w:tcW w:type="dxa" w:w="19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Review text</w:t>
            </w:r>
          </w:p>
        </w:tc>
        <w:tc>
          <w:tcPr>
            <w:tcW w:type="dxa" w:w="3126"/>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title and body text, submission time</w:t>
            </w:r>
          </w:p>
        </w:tc>
        <w:tc>
          <w:tcPr>
            <w:tcW w:type="dxa" w:w="15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Text / datetime</w:t>
            </w:r>
          </w:p>
        </w:tc>
        <w:tc>
          <w:tcPr>
            <w:tcW w:type="dxa" w:w="25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Sentiment, aspects, topics, time-based splits</w:t>
            </w:r>
          </w:p>
        </w:tc>
      </w:tr>
      <w:tr>
        <w:trPr>
          <w:cantSplit/>
          <w:tblHeader w:val="false"/>
        </w:trPr>
        <w:tc>
          <w:tcPr>
            <w:tcW w:type="dxa" w:w="19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Derived features</w:t>
            </w:r>
          </w:p>
        </w:tc>
        <w:tc>
          <w:tcPr>
            <w:tcW w:type="dxa" w:w="31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ingredient TF-IDF or embeddings; active-ingredient flags; aspect scores; skin-type-specific mean rating; review recency; user and item activity counts</w:t>
            </w:r>
          </w:p>
        </w:tc>
        <w:tc>
          <w:tcPr>
            <w:tcW w:type="dxa" w:w="15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Engineered</w:t>
            </w:r>
          </w:p>
        </w:tc>
        <w:tc>
          <w:tcPr>
            <w:tcW w:type="dxa" w:w="25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Model inputs (Section 9)</w:t>
            </w:r>
          </w:p>
        </w:tc>
      </w:tr>
    </w:tbl>
    <w:p>
      <w:pPr>
        <w:spacing w:after="200" w:before="60"/>
      </w:pPr>
      <w:r>
        <w:rPr>
          <w:i/>
          <w:iCs/>
          <w:color w:val="595959"/>
          <w:sz w:val="18"/>
          <w:szCs w:val="18"/>
        </w:rPr>
        <w:t xml:space="preserve">Table 6. Variable inventory. 'Illustrative' means names may differ in the actual files.</w:t>
      </w:r>
    </w:p>
    <w:p>
      <w:pPr>
        <w:pStyle w:val="Heading2"/>
      </w:pPr>
      <w:r>
        <w:t xml:space="preserve">8.3 Complementary and optional data</w:t>
      </w:r>
    </w:p>
    <w:p>
      <w:pPr>
        <w:pStyle w:val="ListParagraph"/>
        <w:numPr>
          <w:ilvl w:val="0"/>
          <w:numId w:val="2"/>
        </w:numPr>
        <w:spacing w:after="80" w:line="276"/>
      </w:pPr>
      <w:r>
        <w:rPr>
          <w:b/>
          <w:bCs/>
        </w:rPr>
        <w:t xml:space="preserve">Ingredient reference data</w:t>
      </w:r>
      <w:r>
        <w:t xml:space="preserve"> (public safety and function databases such as those maintained by regulators or industry bodies) to map ingredient names to functions like humectant, exfoliant or fragrance. Availability and licences to be checked.</w:t>
      </w:r>
    </w:p>
    <w:p>
      <w:pPr>
        <w:pStyle w:val="ListParagraph"/>
        <w:numPr>
          <w:ilvl w:val="0"/>
          <w:numId w:val="2"/>
        </w:numPr>
        <w:spacing w:after="80" w:line="276"/>
      </w:pPr>
      <w:r>
        <w:rPr>
          <w:b/>
          <w:bCs/>
        </w:rPr>
        <w:t xml:space="preserve">Trend signals</w:t>
      </w:r>
      <w:r>
        <w:t xml:space="preserve"> (e.g., search-interest data, public social posts) to relate ingredient popularity to review volume in an extension. Any scraping must respect platform terms and privacy rules.</w:t>
      </w:r>
    </w:p>
    <w:p>
      <w:pPr>
        <w:pStyle w:val="ListParagraph"/>
        <w:numPr>
          <w:ilvl w:val="0"/>
          <w:numId w:val="2"/>
        </w:numPr>
        <w:spacing w:after="80" w:line="276"/>
      </w:pPr>
      <w:r>
        <w:rPr>
          <w:b/>
          <w:bCs/>
        </w:rPr>
        <w:t xml:space="preserve">Alternative product datasets</w:t>
      </w:r>
      <w:r>
        <w:t xml:space="preserve"> (public cosmetics-ingredient datasets) for external validation of the ingredient pipeline [8].</w:t>
      </w:r>
    </w:p>
    <w:p>
      <w:pPr>
        <w:pStyle w:val="Heading2"/>
      </w:pPr>
      <w:r>
        <w:t xml:space="preserve">8.4 Known data risks</w:t>
      </w:r>
    </w:p>
    <w:p>
      <w:pPr>
        <w:pStyle w:val="ListParagraph"/>
        <w:numPr>
          <w:ilvl w:val="0"/>
          <w:numId w:val="2"/>
        </w:numPr>
        <w:spacing w:after="80" w:line="276"/>
      </w:pPr>
      <w:r>
        <w:rPr>
          <w:b/>
          <w:bCs/>
        </w:rPr>
        <w:t xml:space="preserve">Self-selection and missing profiles:</w:t>
      </w:r>
      <w:r>
        <w:t xml:space="preserve"> only some reviewers disclose skin type or tone, so subgroup analysis needs missingness checks.</w:t>
      </w:r>
    </w:p>
    <w:p>
      <w:pPr>
        <w:pStyle w:val="ListParagraph"/>
        <w:numPr>
          <w:ilvl w:val="0"/>
          <w:numId w:val="2"/>
        </w:numPr>
        <w:spacing w:after="80" w:line="276"/>
      </w:pPr>
      <w:r>
        <w:rPr>
          <w:b/>
          <w:bCs/>
        </w:rPr>
        <w:t xml:space="preserve">Rating inflation and review incentives:</w:t>
      </w:r>
      <w:r>
        <w:t xml:space="preserve"> reviews may be sponsored or incentivised. If a flag exists it will be used; otherwise sensitivity checks will be run.</w:t>
      </w:r>
    </w:p>
    <w:p>
      <w:pPr>
        <w:pStyle w:val="ListParagraph"/>
        <w:numPr>
          <w:ilvl w:val="0"/>
          <w:numId w:val="2"/>
        </w:numPr>
        <w:spacing w:after="80" w:line="276"/>
      </w:pPr>
      <w:r>
        <w:rPr>
          <w:b/>
          <w:bCs/>
        </w:rPr>
        <w:t xml:space="preserve">Sparsity and long tail:</w:t>
      </w:r>
      <w:r>
        <w:t xml:space="preserve"> most users review few products and most products have few reviews, which limits collaborative filtering.</w:t>
      </w:r>
    </w:p>
    <w:p>
      <w:pPr>
        <w:pStyle w:val="ListParagraph"/>
        <w:numPr>
          <w:ilvl w:val="0"/>
          <w:numId w:val="2"/>
        </w:numPr>
        <w:spacing w:after="80" w:line="276"/>
      </w:pPr>
      <w:r>
        <w:rPr>
          <w:b/>
          <w:bCs/>
        </w:rPr>
        <w:t xml:space="preserve">Snapshot bias:</w:t>
      </w:r>
      <w:r>
        <w:t xml:space="preserve"> prices, stock and ingredients change over time, so conclusions describe the data snapshot.</w:t>
      </w:r>
    </w:p>
    <w:p>
      <w:pPr>
        <w:pStyle w:val="Heading1"/>
      </w:pPr>
      <w:r>
        <w:t xml:space="preserve">9. Analysis Plan: Step-by-Step Approach</w:t>
      </w:r>
    </w:p>
    <w:p>
      <w:pPr>
        <w:spacing w:after="140" w:line="288"/>
      </w:pPr>
      <w:r>
        <w:t xml:space="preserve">The workflow has eight phases. Each phase states its purpose, main activities, outputs and the research question it serves.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800"/>
        <w:gridCol w:w="1900"/>
        <w:gridCol w:w="1226"/>
      </w:tblGrid>
      <w:tr>
        <w:trPr>
          <w:cantSplit/>
          <w:tblHeader/>
        </w:trPr>
        <w:tc>
          <w:tcPr>
            <w:tcW w:type="dxa" w:w="2100"/>
            <w:tcBorders>
              <w:top w:val="single" w:color="C9C9D1" w:sz="4"/>
              <w:left w:val="single" w:color="C9C9D1" w:sz="4"/>
              <w:bottom w:val="single" w:color="C9C9D1" w:sz="4"/>
              <w:right w:val="single" w:color="C9C9D1" w:sz="4"/>
            </w:tcBorders>
            <w:shd w:fill="1F3A5F" w:color="auto" w:val="clear"/>
            <w:tcMar>
              <w:top w:type="dxa" w:w="70"/>
              <w:left w:type="dxa" w:w="110"/>
              <w:bottom w:type="dxa" w:w="70"/>
              <w:right w:type="dxa" w:w="110"/>
            </w:tcMar>
          </w:tcPr>
          <w:p>
            <w:pPr>
              <w:spacing w:after="30"/>
            </w:pPr>
            <w:r>
              <w:rPr>
                <w:b/>
                <w:bCs/>
                <w:color w:val="FFFFFF"/>
                <w:sz w:val="19"/>
                <w:szCs w:val="19"/>
              </w:rPr>
              <w:t xml:space="preserve">Phase</w:t>
            </w:r>
          </w:p>
        </w:tc>
        <w:tc>
          <w:tcPr>
            <w:tcW w:type="dxa" w:w="3800"/>
            <w:tcBorders>
              <w:top w:val="single" w:color="C9C9D1" w:sz="4"/>
              <w:left w:val="single" w:color="C9C9D1" w:sz="4"/>
              <w:bottom w:val="single" w:color="C9C9D1" w:sz="4"/>
              <w:right w:val="single" w:color="C9C9D1" w:sz="4"/>
            </w:tcBorders>
            <w:shd w:fill="1F3A5F" w:color="auto" w:val="clear"/>
            <w:tcMar>
              <w:top w:type="dxa" w:w="70"/>
              <w:left w:type="dxa" w:w="110"/>
              <w:bottom w:type="dxa" w:w="70"/>
              <w:right w:type="dxa" w:w="110"/>
            </w:tcMar>
          </w:tcPr>
          <w:p>
            <w:pPr>
              <w:spacing w:after="30"/>
            </w:pPr>
            <w:r>
              <w:rPr>
                <w:b/>
                <w:bCs/>
                <w:color w:val="FFFFFF"/>
                <w:sz w:val="19"/>
                <w:szCs w:val="19"/>
              </w:rPr>
              <w:t xml:space="preserve">Key activities</w:t>
            </w:r>
          </w:p>
        </w:tc>
        <w:tc>
          <w:tcPr>
            <w:tcW w:type="dxa" w:w="1900"/>
            <w:tcBorders>
              <w:top w:val="single" w:color="C9C9D1" w:sz="4"/>
              <w:left w:val="single" w:color="C9C9D1" w:sz="4"/>
              <w:bottom w:val="single" w:color="C9C9D1" w:sz="4"/>
              <w:right w:val="single" w:color="C9C9D1" w:sz="4"/>
            </w:tcBorders>
            <w:shd w:fill="1F3A5F" w:color="auto" w:val="clear"/>
            <w:tcMar>
              <w:top w:type="dxa" w:w="70"/>
              <w:left w:type="dxa" w:w="110"/>
              <w:bottom w:type="dxa" w:w="70"/>
              <w:right w:type="dxa" w:w="110"/>
            </w:tcMar>
          </w:tcPr>
          <w:p>
            <w:pPr>
              <w:spacing w:after="30"/>
            </w:pPr>
            <w:r>
              <w:rPr>
                <w:b/>
                <w:bCs/>
                <w:color w:val="FFFFFF"/>
                <w:sz w:val="19"/>
                <w:szCs w:val="19"/>
              </w:rPr>
              <w:t xml:space="preserve">Outputs</w:t>
            </w:r>
          </w:p>
        </w:tc>
        <w:tc>
          <w:tcPr>
            <w:tcW w:type="dxa" w:w="1226"/>
            <w:tcBorders>
              <w:top w:val="single" w:color="C9C9D1" w:sz="4"/>
              <w:left w:val="single" w:color="C9C9D1" w:sz="4"/>
              <w:bottom w:val="single" w:color="C9C9D1" w:sz="4"/>
              <w:right w:val="single" w:color="C9C9D1" w:sz="4"/>
            </w:tcBorders>
            <w:shd w:fill="1F3A5F" w:color="auto" w:val="clear"/>
            <w:tcMar>
              <w:top w:type="dxa" w:w="70"/>
              <w:left w:type="dxa" w:w="110"/>
              <w:bottom w:type="dxa" w:w="70"/>
              <w:right w:type="dxa" w:w="110"/>
            </w:tcMar>
          </w:tcPr>
          <w:p>
            <w:pPr>
              <w:spacing w:after="30"/>
            </w:pPr>
            <w:r>
              <w:rPr>
                <w:b/>
                <w:bCs/>
                <w:color w:val="FFFFFF"/>
                <w:sz w:val="19"/>
                <w:szCs w:val="19"/>
              </w:rPr>
              <w:t xml:space="preserve">Serves</w:t>
            </w:r>
          </w:p>
        </w:tc>
      </w:tr>
      <w:tr>
        <w:trPr>
          <w:cantSplit/>
          <w:tblHeader w:val="false"/>
        </w:trPr>
        <w:tc>
          <w:tcPr>
            <w:tcW w:type="dxa" w:w="21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Phase 1: Data acquisition and audit</w:t>
            </w:r>
          </w:p>
        </w:tc>
        <w:tc>
          <w:tcPr>
            <w:tcW w:type="dxa" w:w="38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Download the data, record its licence and version, load with reproducible scripts, and profile every table (row counts, keys, types, missingness, duplicates).</w:t>
            </w:r>
          </w:p>
        </w:tc>
        <w:tc>
          <w:tcPr>
            <w:tcW w:type="dxa" w:w="19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Data dictionary; audit log</w:t>
            </w:r>
          </w:p>
        </w:tc>
        <w:tc>
          <w:tcPr>
            <w:tcW w:type="dxa" w:w="12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All</w:t>
            </w:r>
          </w:p>
        </w:tc>
      </w:tr>
      <w:tr>
        <w:trPr>
          <w:cantSplit/>
          <w:tblHeader w:val="false"/>
        </w:trPr>
        <w:tc>
          <w:tcPr>
            <w:tcW w:type="dxa" w:w="21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Phase 2: Cleaning and integration</w:t>
            </w:r>
          </w:p>
        </w:tc>
        <w:tc>
          <w:tcPr>
            <w:tcW w:type="dxa" w:w="38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Standardise categories and text, fix types, remove duplicate reviews, handle missing profile fields explicitly (keep an 'undisclosed' level), join product and review tables on product ID, and flag outliers in price and rating.</w:t>
            </w:r>
          </w:p>
        </w:tc>
        <w:tc>
          <w:tcPr>
            <w:tcW w:type="dxa" w:w="19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Analysis-ready tables; cleaning rules document</w:t>
            </w:r>
          </w:p>
        </w:tc>
        <w:tc>
          <w:tcPr>
            <w:tcW w:type="dxa" w:w="1226"/>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All</w:t>
            </w:r>
          </w:p>
        </w:tc>
      </w:tr>
      <w:tr>
        <w:trPr>
          <w:cantSplit/>
          <w:tblHeader w:val="false"/>
        </w:trPr>
        <w:tc>
          <w:tcPr>
            <w:tcW w:type="dxa" w:w="21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Phase 3: Exploratory data analysis (EDA)</w:t>
            </w:r>
          </w:p>
        </w:tc>
        <w:tc>
          <w:tcPr>
            <w:tcW w:type="dxa" w:w="38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Study rating distribution (typically skewed toward high scores), category and brand mix, price bands, review volume over time, long-tail curves, skin-type and tone distribution, ingredient frequency, and rating differences across skin types.</w:t>
            </w:r>
          </w:p>
        </w:tc>
        <w:tc>
          <w:tcPr>
            <w:tcW w:type="dxa" w:w="19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EDA notebook with visuals and a list of insights and anomalies</w:t>
            </w:r>
          </w:p>
        </w:tc>
        <w:tc>
          <w:tcPr>
            <w:tcW w:type="dxa" w:w="12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RQ4, RQ6</w:t>
            </w:r>
          </w:p>
        </w:tc>
      </w:tr>
      <w:tr>
        <w:trPr>
          <w:cantSplit/>
          <w:tblHeader w:val="false"/>
        </w:trPr>
        <w:tc>
          <w:tcPr>
            <w:tcW w:type="dxa" w:w="21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Phase 4: Feature engineering</w:t>
            </w:r>
          </w:p>
        </w:tc>
        <w:tc>
          <w:tcPr>
            <w:tcW w:type="dxa" w:w="38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Build ingredient features (TF-IDF, ingredient-frequency weighting, and active-ingredient flags), sentence embeddings for reviews and descriptions, aspect-level sentiment from review text, skin-type-specific product means with shrinkage for small samples, and recency and activity features.</w:t>
            </w:r>
          </w:p>
        </w:tc>
        <w:tc>
          <w:tcPr>
            <w:tcW w:type="dxa" w:w="19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Feature store (versioned files); feature documentation</w:t>
            </w:r>
          </w:p>
        </w:tc>
        <w:tc>
          <w:tcPr>
            <w:tcW w:type="dxa" w:w="1226"/>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RQ3, RQ5</w:t>
            </w:r>
          </w:p>
        </w:tc>
      </w:tr>
      <w:tr>
        <w:trPr>
          <w:cantSplit/>
          <w:tblHeader w:val="false"/>
        </w:trPr>
        <w:tc>
          <w:tcPr>
            <w:tcW w:type="dxa" w:w="21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Phase 5: Baselines</w:t>
            </w:r>
          </w:p>
        </w:tc>
        <w:tc>
          <w:tcPr>
            <w:tcW w:type="dxa" w:w="38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Implement (a) global popularity, (b) Bayesian average rating, (c) skin-type-conditioned popularity, and (d) content-based similarity from ingredients and categories.</w:t>
            </w:r>
          </w:p>
        </w:tc>
        <w:tc>
          <w:tcPr>
            <w:tcW w:type="dxa" w:w="19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Baseline metrics table</w:t>
            </w:r>
          </w:p>
        </w:tc>
        <w:tc>
          <w:tcPr>
            <w:tcW w:type="dxa" w:w="12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RQ1, RQ2</w:t>
            </w:r>
          </w:p>
        </w:tc>
      </w:tr>
      <w:tr>
        <w:trPr>
          <w:cantSplit/>
          <w:tblHeader w:val="false"/>
        </w:trPr>
        <w:tc>
          <w:tcPr>
            <w:tcW w:type="dxa" w:w="21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Phase 6: Modelling</w:t>
            </w:r>
          </w:p>
        </w:tc>
        <w:tc>
          <w:tcPr>
            <w:tcW w:type="dxa" w:w="38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Train (a) matrix factorization or implicit-feedback models for collaborative signals; (b) a hybrid ranker (e.g., gradient-boosted trees or a factorization model with side features) combining content, profile, collaborative and review-aspect features; (c) a cold-start pathway: map questionnaire inputs to user cohorts (e.g., clustering on categorical attributes) and to profile-aware scoring.</w:t>
            </w:r>
          </w:p>
        </w:tc>
        <w:tc>
          <w:tcPr>
            <w:tcW w:type="dxa" w:w="19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Trained models; hyperparameter logs</w:t>
            </w:r>
          </w:p>
        </w:tc>
        <w:tc>
          <w:tcPr>
            <w:tcW w:type="dxa" w:w="1226"/>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RQ1–RQ3</w:t>
            </w:r>
          </w:p>
        </w:tc>
      </w:tr>
      <w:tr>
        <w:trPr>
          <w:cantSplit/>
          <w:tblHeader w:val="false"/>
        </w:trPr>
        <w:tc>
          <w:tcPr>
            <w:tcW w:type="dxa" w:w="21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Phase 7: Evaluation and inference</w:t>
            </w:r>
          </w:p>
        </w:tc>
        <w:tc>
          <w:tcPr>
            <w:tcW w:type="dxa" w:w="38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Use time-aware splits and a separate cold-start user holdout. Compute ranking and error metrics, run ablations, subgroup analysis and the hypothesis tests in Table 5, with multiple-comparison control.</w:t>
            </w:r>
          </w:p>
        </w:tc>
        <w:tc>
          <w:tcPr>
            <w:tcW w:type="dxa" w:w="19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Results tables, plots, statistical test outputs</w:t>
            </w:r>
          </w:p>
        </w:tc>
        <w:tc>
          <w:tcPr>
            <w:tcW w:type="dxa" w:w="12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RQ1–RQ6</w:t>
            </w:r>
          </w:p>
        </w:tc>
      </w:tr>
      <w:tr>
        <w:trPr>
          <w:cantSplit/>
          <w:tblHeader w:val="false"/>
        </w:trPr>
        <w:tc>
          <w:tcPr>
            <w:tcW w:type="dxa" w:w="21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Phase 8: Interpretation and communication</w:t>
            </w:r>
          </w:p>
        </w:tc>
        <w:tc>
          <w:tcPr>
            <w:tcW w:type="dxa" w:w="38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Generate explanations (top matching ingredients, similar-reviewer evidence, frequent positive and negative aspects), translate results into business recommendations, and document limitations.</w:t>
            </w:r>
          </w:p>
        </w:tc>
        <w:tc>
          <w:tcPr>
            <w:tcW w:type="dxa" w:w="19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Final report and optional demo prototype</w:t>
            </w:r>
          </w:p>
        </w:tc>
        <w:tc>
          <w:tcPr>
            <w:tcW w:type="dxa" w:w="1226"/>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O5, all</w:t>
            </w:r>
          </w:p>
        </w:tc>
      </w:tr>
    </w:tbl>
    <w:p>
      <w:pPr>
        <w:spacing w:after="200" w:before="60"/>
      </w:pPr>
      <w:r>
        <w:rPr>
          <w:i/>
          <w:iCs/>
          <w:color w:val="595959"/>
          <w:sz w:val="18"/>
          <w:szCs w:val="18"/>
        </w:rPr>
        <w:t xml:space="preserve">Table 7. Phased analysis plan.</w:t>
      </w:r>
    </w:p>
    <w:p>
      <w:pPr>
        <w:pStyle w:val="Heading2"/>
      </w:pPr>
      <w:r>
        <w:t xml:space="preserve">9.1 Initial exploratory ideas</w:t>
      </w:r>
    </w:p>
    <w:p>
      <w:pPr>
        <w:pStyle w:val="ListParagraph"/>
        <w:numPr>
          <w:ilvl w:val="0"/>
          <w:numId w:val="3"/>
        </w:numPr>
        <w:spacing w:after="80" w:line="276"/>
      </w:pPr>
      <w:r>
        <w:t xml:space="preserve">Plot rating distributions by skin type for the 20 most-reviewed products to look for heterogeneity (RQ4).</w:t>
      </w:r>
    </w:p>
    <w:p>
      <w:pPr>
        <w:pStyle w:val="ListParagraph"/>
        <w:numPr>
          <w:ilvl w:val="0"/>
          <w:numId w:val="3"/>
        </w:numPr>
        <w:spacing w:after="80" w:line="276"/>
      </w:pPr>
      <w:r>
        <w:t xml:space="preserve">Compare the share of reviews containing irritation-related terms across products with fragrance-related ingredients and those without.</w:t>
      </w:r>
    </w:p>
    <w:p>
      <w:pPr>
        <w:pStyle w:val="ListParagraph"/>
        <w:numPr>
          <w:ilvl w:val="0"/>
          <w:numId w:val="3"/>
        </w:numPr>
        <w:spacing w:after="80" w:line="276"/>
      </w:pPr>
      <w:r>
        <w:t xml:space="preserve">Cluster products by ingredient vectors and inspect whether clusters align with category labels or reveal cross-category substitutes.</w:t>
      </w:r>
    </w:p>
    <w:p>
      <w:pPr>
        <w:pStyle w:val="ListParagraph"/>
        <w:numPr>
          <w:ilvl w:val="0"/>
          <w:numId w:val="3"/>
        </w:numPr>
        <w:spacing w:after="80" w:line="276"/>
      </w:pPr>
      <w:r>
        <w:t xml:space="preserve">Analyse how review volume concentrates in a small share of products, and estimate the head-versus-tail contribution (RQ6).</w:t>
      </w:r>
    </w:p>
    <w:p>
      <w:pPr>
        <w:pStyle w:val="ListParagraph"/>
        <w:numPr>
          <w:ilvl w:val="0"/>
          <w:numId w:val="3"/>
        </w:numPr>
        <w:spacing w:after="80" w:line="276"/>
      </w:pPr>
      <w:r>
        <w:t xml:space="preserve">Track topic prevalence in reviews over time (e.g., sunscreen, retinol, barrier repair) to see whether ingredient trends can be detected from text.</w:t>
      </w:r>
    </w:p>
    <w:p>
      <w:pPr>
        <w:pStyle w:val="ListParagraph"/>
        <w:numPr>
          <w:ilvl w:val="0"/>
          <w:numId w:val="3"/>
        </w:numPr>
        <w:spacing w:after="80" w:line="276"/>
      </w:pPr>
      <w:r>
        <w:t xml:space="preserve">Test whether reviewers with missing profiles differ in rating behaviour from those who disclose profiles, to gauge selection bias.</w:t>
      </w:r>
    </w:p>
    <w:p>
      <w:pPr>
        <w:pStyle w:val="Heading2"/>
      </w:pPr>
      <w:r>
        <w:t xml:space="preserve">9.2 Validation design</w:t>
      </w:r>
    </w:p>
    <w:p>
      <w:pPr>
        <w:pStyle w:val="ListParagraph"/>
        <w:numPr>
          <w:ilvl w:val="0"/>
          <w:numId w:val="2"/>
        </w:numPr>
        <w:spacing w:after="80" w:line="276"/>
      </w:pPr>
      <w:r>
        <w:rPr>
          <w:b/>
          <w:bCs/>
        </w:rPr>
        <w:t xml:space="preserve">Time-aware split:</w:t>
      </w:r>
      <w:r>
        <w:t xml:space="preserve"> train on earlier reviews and test on later ones to mimic deployment and avoid leakage.</w:t>
      </w:r>
    </w:p>
    <w:p>
      <w:pPr>
        <w:pStyle w:val="ListParagraph"/>
        <w:numPr>
          <w:ilvl w:val="0"/>
          <w:numId w:val="2"/>
        </w:numPr>
        <w:spacing w:after="80" w:line="276"/>
      </w:pPr>
      <w:r>
        <w:rPr>
          <w:b/>
          <w:bCs/>
        </w:rPr>
        <w:t xml:space="preserve">Cold-start holdout:</w:t>
      </w:r>
      <w:r>
        <w:t xml:space="preserve"> withhold all but the questionnaire-style attributes for a random set of users, then measure recommendation quality against their actual reviewed products.</w:t>
      </w:r>
    </w:p>
    <w:p>
      <w:pPr>
        <w:pStyle w:val="ListParagraph"/>
        <w:numPr>
          <w:ilvl w:val="0"/>
          <w:numId w:val="2"/>
        </w:numPr>
        <w:spacing w:after="80" w:line="276"/>
      </w:pPr>
      <w:r>
        <w:rPr>
          <w:b/>
          <w:bCs/>
        </w:rPr>
        <w:t xml:space="preserve">Treatment of implicit signal:</w:t>
      </w:r>
      <w:r>
        <w:t xml:space="preserve"> a review is treated as evidence of interaction, and high ratings or a recommended flag as positive preference. This proxy assumption is documented as a limitation.</w:t>
      </w:r>
    </w:p>
    <w:p>
      <w:pPr>
        <w:pStyle w:val="ListParagraph"/>
        <w:numPr>
          <w:ilvl w:val="0"/>
          <w:numId w:val="2"/>
        </w:numPr>
        <w:spacing w:after="80" w:line="276"/>
      </w:pPr>
      <w:r>
        <w:rPr>
          <w:b/>
          <w:bCs/>
        </w:rPr>
        <w:t xml:space="preserve">Reproducibility:</w:t>
      </w:r>
      <w:r>
        <w:t xml:space="preserve"> fixed random seeds, versioned notebooks and scripts, and a saved environment file.</w:t>
      </w:r>
    </w:p>
    <w:p>
      <w:pPr>
        <w:pStyle w:val="Heading1"/>
      </w:pPr>
      <w:r>
        <w:t xml:space="preserve">10. Tools, Methods and Justification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3726"/>
      </w:tblGrid>
      <w:tr>
        <w:trPr>
          <w:cantSplit/>
          <w:tblHeader/>
        </w:trPr>
        <w:tc>
          <w:tcPr>
            <w:tcW w:type="dxa" w:w="2200"/>
            <w:tcBorders>
              <w:top w:val="single" w:color="C9C9D1" w:sz="4"/>
              <w:left w:val="single" w:color="C9C9D1" w:sz="4"/>
              <w:bottom w:val="single" w:color="C9C9D1" w:sz="4"/>
              <w:right w:val="single" w:color="C9C9D1" w:sz="4"/>
            </w:tcBorders>
            <w:shd w:fill="1F3A5F" w:color="auto" w:val="clear"/>
            <w:tcMar>
              <w:top w:type="dxa" w:w="70"/>
              <w:left w:type="dxa" w:w="110"/>
              <w:bottom w:type="dxa" w:w="70"/>
              <w:right w:type="dxa" w:w="110"/>
            </w:tcMar>
          </w:tcPr>
          <w:p>
            <w:pPr>
              <w:spacing w:after="30"/>
            </w:pPr>
            <w:r>
              <w:rPr>
                <w:b/>
                <w:bCs/>
                <w:color w:val="FFFFFF"/>
                <w:sz w:val="19"/>
                <w:szCs w:val="19"/>
              </w:rPr>
              <w:t xml:space="preserve">Task</w:t>
            </w:r>
          </w:p>
        </w:tc>
        <w:tc>
          <w:tcPr>
            <w:tcW w:type="dxa" w:w="3100"/>
            <w:tcBorders>
              <w:top w:val="single" w:color="C9C9D1" w:sz="4"/>
              <w:left w:val="single" w:color="C9C9D1" w:sz="4"/>
              <w:bottom w:val="single" w:color="C9C9D1" w:sz="4"/>
              <w:right w:val="single" w:color="C9C9D1" w:sz="4"/>
            </w:tcBorders>
            <w:shd w:fill="1F3A5F" w:color="auto" w:val="clear"/>
            <w:tcMar>
              <w:top w:type="dxa" w:w="70"/>
              <w:left w:type="dxa" w:w="110"/>
              <w:bottom w:type="dxa" w:w="70"/>
              <w:right w:type="dxa" w:w="110"/>
            </w:tcMar>
          </w:tcPr>
          <w:p>
            <w:pPr>
              <w:spacing w:after="30"/>
            </w:pPr>
            <w:r>
              <w:rPr>
                <w:b/>
                <w:bCs/>
                <w:color w:val="FFFFFF"/>
                <w:sz w:val="19"/>
                <w:szCs w:val="19"/>
              </w:rPr>
              <w:t xml:space="preserve">Candidate tools / methods</w:t>
            </w:r>
          </w:p>
        </w:tc>
        <w:tc>
          <w:tcPr>
            <w:tcW w:type="dxa" w:w="3726"/>
            <w:tcBorders>
              <w:top w:val="single" w:color="C9C9D1" w:sz="4"/>
              <w:left w:val="single" w:color="C9C9D1" w:sz="4"/>
              <w:bottom w:val="single" w:color="C9C9D1" w:sz="4"/>
              <w:right w:val="single" w:color="C9C9D1" w:sz="4"/>
            </w:tcBorders>
            <w:shd w:fill="1F3A5F" w:color="auto" w:val="clear"/>
            <w:tcMar>
              <w:top w:type="dxa" w:w="70"/>
              <w:left w:type="dxa" w:w="110"/>
              <w:bottom w:type="dxa" w:w="70"/>
              <w:right w:type="dxa" w:w="110"/>
            </w:tcMar>
          </w:tcPr>
          <w:p>
            <w:pPr>
              <w:spacing w:after="30"/>
            </w:pPr>
            <w:r>
              <w:rPr>
                <w:b/>
                <w:bCs/>
                <w:color w:val="FFFFFF"/>
                <w:sz w:val="19"/>
                <w:szCs w:val="19"/>
              </w:rPr>
              <w:t xml:space="preserve">Justification</w:t>
            </w:r>
          </w:p>
        </w:tc>
      </w:tr>
      <w:tr>
        <w:trPr>
          <w:cantSplit/>
          <w:tblHeader w:val="false"/>
        </w:trPr>
        <w:tc>
          <w:tcPr>
            <w:tcW w:type="dxa" w:w="22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Data handling</w:t>
            </w:r>
          </w:p>
        </w:tc>
        <w:tc>
          <w:tcPr>
            <w:tcW w:type="dxa" w:w="31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Python (pandas, NumPy), SQL or DuckDB for large joins</w:t>
            </w:r>
          </w:p>
        </w:tc>
        <w:tc>
          <w:tcPr>
            <w:tcW w:type="dxa" w:w="37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Standard, reproducible, handles roughly a million reviews on a laptop</w:t>
            </w:r>
          </w:p>
        </w:tc>
      </w:tr>
      <w:tr>
        <w:trPr>
          <w:cantSplit/>
          <w:tblHeader w:val="false"/>
        </w:trPr>
        <w:tc>
          <w:tcPr>
            <w:tcW w:type="dxa" w:w="22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EDA and visuals</w:t>
            </w:r>
          </w:p>
        </w:tc>
        <w:tc>
          <w:tcPr>
            <w:tcW w:type="dxa" w:w="31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matplotlib, seaborn, Plotly</w:t>
            </w:r>
          </w:p>
        </w:tc>
        <w:tc>
          <w:tcPr>
            <w:tcW w:type="dxa" w:w="3726"/>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Fast iteration and clear communication to non-technical readers</w:t>
            </w:r>
          </w:p>
        </w:tc>
      </w:tr>
      <w:tr>
        <w:trPr>
          <w:cantSplit/>
          <w:tblHeader w:val="false"/>
        </w:trPr>
        <w:tc>
          <w:tcPr>
            <w:tcW w:type="dxa" w:w="22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Statistical testing</w:t>
            </w:r>
          </w:p>
        </w:tc>
        <w:tc>
          <w:tcPr>
            <w:tcW w:type="dxa" w:w="31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SciPy, statsmodels, scikit-posthocs</w:t>
            </w:r>
          </w:p>
        </w:tc>
        <w:tc>
          <w:tcPr>
            <w:tcW w:type="dxa" w:w="37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Kruskal-Wallis, Wilcoxon, logistic regression and multiple-testing corrections support Table 5</w:t>
            </w:r>
          </w:p>
        </w:tc>
      </w:tr>
      <w:tr>
        <w:trPr>
          <w:cantSplit/>
          <w:tblHeader w:val="false"/>
        </w:trPr>
        <w:tc>
          <w:tcPr>
            <w:tcW w:type="dxa" w:w="22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Text processing</w:t>
            </w:r>
          </w:p>
        </w:tc>
        <w:tc>
          <w:tcPr>
            <w:tcW w:type="dxa" w:w="31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spaCy or NLTK for cleaning; VADER for baseline sentiment [13]; sentence-transformers for embeddings; BERTopic or LDA for topics</w:t>
            </w:r>
          </w:p>
        </w:tc>
        <w:tc>
          <w:tcPr>
            <w:tcW w:type="dxa" w:w="3726"/>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Progression from interpretable baselines to richer semantic models, letting the plan measure the value of added complexity</w:t>
            </w:r>
          </w:p>
        </w:tc>
      </w:tr>
      <w:tr>
        <w:trPr>
          <w:cantSplit/>
          <w:tblHeader w:val="false"/>
        </w:trPr>
        <w:tc>
          <w:tcPr>
            <w:tcW w:type="dxa" w:w="22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Ingredient features</w:t>
            </w:r>
          </w:p>
        </w:tc>
        <w:tc>
          <w:tcPr>
            <w:tcW w:type="dxa" w:w="31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Regex and rule-based parsing; TF-IDF; ingredient-frequency weighting [8]</w:t>
            </w:r>
          </w:p>
        </w:tc>
        <w:tc>
          <w:tcPr>
            <w:tcW w:type="dxa" w:w="37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Transparent and explainable; suits long, comma-separated lists</w:t>
            </w:r>
          </w:p>
        </w:tc>
      </w:tr>
      <w:tr>
        <w:trPr>
          <w:cantSplit/>
          <w:tblHeader w:val="false"/>
        </w:trPr>
        <w:tc>
          <w:tcPr>
            <w:tcW w:type="dxa" w:w="22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Recommenders</w:t>
            </w:r>
          </w:p>
        </w:tc>
        <w:tc>
          <w:tcPr>
            <w:tcW w:type="dxa" w:w="31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scikit-learn baselines; implicit / LightFM or Surprise for factorization; LightGBM / XGBoost for hybrid ranking</w:t>
            </w:r>
          </w:p>
        </w:tc>
        <w:tc>
          <w:tcPr>
            <w:tcW w:type="dxa" w:w="3726"/>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Covers collaborative, content and hybrid families [11][12]; tree ranking handles mixed features and enables feature-importance explanations</w:t>
            </w:r>
          </w:p>
        </w:tc>
      </w:tr>
      <w:tr>
        <w:trPr>
          <w:cantSplit/>
          <w:tblHeader w:val="false"/>
        </w:trPr>
        <w:tc>
          <w:tcPr>
            <w:tcW w:type="dxa" w:w="22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Cold-start</w:t>
            </w:r>
          </w:p>
        </w:tc>
        <w:tc>
          <w:tcPr>
            <w:tcW w:type="dxa" w:w="31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K-modes or K-prototypes clustering for categorical profiles [9]; content-based fallback</w:t>
            </w:r>
          </w:p>
        </w:tc>
        <w:tc>
          <w:tcPr>
            <w:tcW w:type="dxa" w:w="37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Simple, interpretable, and demonstrated in prior Sephora-based work</w:t>
            </w:r>
          </w:p>
        </w:tc>
      </w:tr>
      <w:tr>
        <w:trPr>
          <w:cantSplit/>
          <w:tblHeader w:val="false"/>
        </w:trPr>
        <w:tc>
          <w:tcPr>
            <w:tcW w:type="dxa" w:w="22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Explainability</w:t>
            </w:r>
          </w:p>
        </w:tc>
        <w:tc>
          <w:tcPr>
            <w:tcW w:type="dxa" w:w="31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SHAP values, ingredient contribution scores, nearest-reviewer evidence</w:t>
            </w:r>
          </w:p>
        </w:tc>
        <w:tc>
          <w:tcPr>
            <w:tcW w:type="dxa" w:w="3726"/>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Supports O5 and builds shopper trust</w:t>
            </w:r>
          </w:p>
        </w:tc>
      </w:tr>
      <w:tr>
        <w:trPr>
          <w:cantSplit/>
          <w:tblHeader w:val="false"/>
        </w:trPr>
        <w:tc>
          <w:tcPr>
            <w:tcW w:type="dxa" w:w="22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Prototype (optional)</w:t>
            </w:r>
          </w:p>
        </w:tc>
        <w:tc>
          <w:tcPr>
            <w:tcW w:type="dxa" w:w="31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Streamlit</w:t>
            </w:r>
          </w:p>
        </w:tc>
        <w:tc>
          <w:tcPr>
            <w:tcW w:type="dxa" w:w="37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Rapid, low-effort interactive demo for stakeholders</w:t>
            </w:r>
          </w:p>
        </w:tc>
      </w:tr>
      <w:tr>
        <w:trPr>
          <w:cantSplit/>
          <w:tblHeader w:val="false"/>
        </w:trPr>
        <w:tc>
          <w:tcPr>
            <w:tcW w:type="dxa" w:w="22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Project hygiene</w:t>
            </w:r>
          </w:p>
        </w:tc>
        <w:tc>
          <w:tcPr>
            <w:tcW w:type="dxa" w:w="31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Git, Jupyter, requirements file</w:t>
            </w:r>
          </w:p>
        </w:tc>
        <w:tc>
          <w:tcPr>
            <w:tcW w:type="dxa" w:w="3726"/>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Reproducibility and version history</w:t>
            </w:r>
          </w:p>
        </w:tc>
      </w:tr>
    </w:tbl>
    <w:p>
      <w:pPr>
        <w:spacing w:after="200" w:before="60"/>
      </w:pPr>
      <w:r>
        <w:rPr>
          <w:i/>
          <w:iCs/>
          <w:color w:val="595959"/>
          <w:sz w:val="18"/>
          <w:szCs w:val="18"/>
        </w:rPr>
        <w:t xml:space="preserve">Table 8. Tool and method choices.</w:t>
      </w:r>
    </w:p>
    <w:p>
      <w:pPr>
        <w:pStyle w:val="Heading3"/>
      </w:pPr>
      <w:r>
        <w:t xml:space="preserve">Why a hybrid rather than a single model?</w:t>
      </w:r>
    </w:p>
    <w:p>
      <w:pPr>
        <w:spacing w:after="140" w:line="288"/>
      </w:pPr>
      <w:r>
        <w:t xml:space="preserve">Collaborative filtering alone fails on cold-start users and sparse items. Content-based methods alone cannot learn from community behaviour and tend to over-specialise. A hybrid uses each where it is strongest and lets the ablation study in Phase 7 quantify the contribution of every component, which is central to the analytic rigor requirement of this project.</w:t>
      </w:r>
    </w:p>
    <w:p>
      <w:pPr>
        <w:pStyle w:val="Heading3"/>
      </w:pPr>
      <w:r>
        <w:t xml:space="preserve">Why start simple?</w:t>
      </w:r>
    </w:p>
    <w:p>
      <w:pPr>
        <w:spacing w:after="140" w:line="288"/>
      </w:pPr>
      <w:r>
        <w:t xml:space="preserve">Strong baselines guard against the common error of crediting complexity for gains that a popularity list or average rating would already deliver. Every advanced method must therefore beat a stated simple alternative under the same split.</w:t>
      </w:r>
    </w:p>
    <w:p>
      <w:pPr>
        <w:pStyle w:val="Heading1"/>
      </w:pPr>
      <w:r>
        <w:t xml:space="preserve">11. Evaluation Framework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cantSplit/>
          <w:tblHeader/>
        </w:trPr>
        <w:tc>
          <w:tcPr>
            <w:tcW w:type="dxa" w:w="2300"/>
            <w:tcBorders>
              <w:top w:val="single" w:color="C9C9D1" w:sz="4"/>
              <w:left w:val="single" w:color="C9C9D1" w:sz="4"/>
              <w:bottom w:val="single" w:color="C9C9D1" w:sz="4"/>
              <w:right w:val="single" w:color="C9C9D1" w:sz="4"/>
            </w:tcBorders>
            <w:shd w:fill="1F3A5F" w:color="auto" w:val="clear"/>
            <w:tcMar>
              <w:top w:type="dxa" w:w="70"/>
              <w:left w:type="dxa" w:w="110"/>
              <w:bottom w:type="dxa" w:w="70"/>
              <w:right w:type="dxa" w:w="110"/>
            </w:tcMar>
          </w:tcPr>
          <w:p>
            <w:pPr>
              <w:spacing w:after="30"/>
            </w:pPr>
            <w:r>
              <w:rPr>
                <w:b/>
                <w:bCs/>
                <w:color w:val="FFFFFF"/>
                <w:sz w:val="19"/>
                <w:szCs w:val="19"/>
              </w:rPr>
              <w:t xml:space="preserve">Dimension</w:t>
            </w:r>
          </w:p>
        </w:tc>
        <w:tc>
          <w:tcPr>
            <w:tcW w:type="dxa" w:w="3300"/>
            <w:tcBorders>
              <w:top w:val="single" w:color="C9C9D1" w:sz="4"/>
              <w:left w:val="single" w:color="C9C9D1" w:sz="4"/>
              <w:bottom w:val="single" w:color="C9C9D1" w:sz="4"/>
              <w:right w:val="single" w:color="C9C9D1" w:sz="4"/>
            </w:tcBorders>
            <w:shd w:fill="1F3A5F" w:color="auto" w:val="clear"/>
            <w:tcMar>
              <w:top w:type="dxa" w:w="70"/>
              <w:left w:type="dxa" w:w="110"/>
              <w:bottom w:type="dxa" w:w="70"/>
              <w:right w:type="dxa" w:w="110"/>
            </w:tcMar>
          </w:tcPr>
          <w:p>
            <w:pPr>
              <w:spacing w:after="30"/>
            </w:pPr>
            <w:r>
              <w:rPr>
                <w:b/>
                <w:bCs/>
                <w:color w:val="FFFFFF"/>
                <w:sz w:val="19"/>
                <w:szCs w:val="19"/>
              </w:rPr>
              <w:t xml:space="preserve">Metrics</w:t>
            </w:r>
          </w:p>
        </w:tc>
        <w:tc>
          <w:tcPr>
            <w:tcW w:type="dxa" w:w="3426"/>
            <w:tcBorders>
              <w:top w:val="single" w:color="C9C9D1" w:sz="4"/>
              <w:left w:val="single" w:color="C9C9D1" w:sz="4"/>
              <w:bottom w:val="single" w:color="C9C9D1" w:sz="4"/>
              <w:right w:val="single" w:color="C9C9D1" w:sz="4"/>
            </w:tcBorders>
            <w:shd w:fill="1F3A5F" w:color="auto" w:val="clear"/>
            <w:tcMar>
              <w:top w:type="dxa" w:w="70"/>
              <w:left w:type="dxa" w:w="110"/>
              <w:bottom w:type="dxa" w:w="70"/>
              <w:right w:type="dxa" w:w="110"/>
            </w:tcMar>
          </w:tcPr>
          <w:p>
            <w:pPr>
              <w:spacing w:after="30"/>
            </w:pPr>
            <w:r>
              <w:rPr>
                <w:b/>
                <w:bCs/>
                <w:color w:val="FFFFFF"/>
                <w:sz w:val="19"/>
                <w:szCs w:val="19"/>
              </w:rPr>
              <w:t xml:space="preserve">Interpretation</w:t>
            </w:r>
          </w:p>
        </w:tc>
      </w:tr>
      <w:tr>
        <w:trPr>
          <w:cantSplit/>
          <w:tblHeader w:val="false"/>
        </w:trPr>
        <w:tc>
          <w:tcPr>
            <w:tcW w:type="dxa" w:w="23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Ranking quality</w:t>
            </w:r>
          </w:p>
        </w:tc>
        <w:tc>
          <w:tcPr>
            <w:tcW w:type="dxa" w:w="33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Precision@K, Recall@K, MAP, NDCG@K (K = 5, 10, 20)</w:t>
            </w:r>
          </w:p>
        </w:tc>
        <w:tc>
          <w:tcPr>
            <w:tcW w:type="dxa" w:w="34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How well the top of the list matches products the user liked</w:t>
            </w:r>
          </w:p>
        </w:tc>
      </w:tr>
      <w:tr>
        <w:trPr>
          <w:cantSplit/>
          <w:tblHeader w:val="false"/>
        </w:trPr>
        <w:tc>
          <w:tcPr>
            <w:tcW w:type="dxa" w:w="23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Rating prediction</w:t>
            </w:r>
          </w:p>
        </w:tc>
        <w:tc>
          <w:tcPr>
            <w:tcW w:type="dxa" w:w="33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RMSE, MAE (secondary)</w:t>
            </w:r>
          </w:p>
        </w:tc>
        <w:tc>
          <w:tcPr>
            <w:tcW w:type="dxa" w:w="3426"/>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Accuracy of predicted scores; used mainly for ablations</w:t>
            </w:r>
          </w:p>
        </w:tc>
      </w:tr>
      <w:tr>
        <w:trPr>
          <w:cantSplit/>
          <w:tblHeader w:val="false"/>
        </w:trPr>
        <w:tc>
          <w:tcPr>
            <w:tcW w:type="dxa" w:w="23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Classification of recommendation</w:t>
            </w:r>
          </w:p>
        </w:tc>
        <w:tc>
          <w:tcPr>
            <w:tcW w:type="dxa" w:w="33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ROC-AUC, PR-AUC, calibration</w:t>
            </w:r>
          </w:p>
        </w:tc>
        <w:tc>
          <w:tcPr>
            <w:tcW w:type="dxa" w:w="34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Quality of predicting the recommended flag</w:t>
            </w:r>
          </w:p>
        </w:tc>
      </w:tr>
      <w:tr>
        <w:trPr>
          <w:cantSplit/>
          <w:tblHeader w:val="false"/>
        </w:trPr>
        <w:tc>
          <w:tcPr>
            <w:tcW w:type="dxa" w:w="23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Cold-start performance</w:t>
            </w:r>
          </w:p>
        </w:tc>
        <w:tc>
          <w:tcPr>
            <w:tcW w:type="dxa" w:w="33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Ranking metrics on the cold-start segment only</w:t>
            </w:r>
          </w:p>
        </w:tc>
        <w:tc>
          <w:tcPr>
            <w:tcW w:type="dxa" w:w="3426"/>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Value for new visitors, the main business objective</w:t>
            </w:r>
          </w:p>
        </w:tc>
      </w:tr>
      <w:tr>
        <w:trPr>
          <w:cantSplit/>
          <w:tblHeader w:val="false"/>
        </w:trPr>
        <w:tc>
          <w:tcPr>
            <w:tcW w:type="dxa" w:w="23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Diversity and coverage</w:t>
            </w:r>
          </w:p>
        </w:tc>
        <w:tc>
          <w:tcPr>
            <w:tcW w:type="dxa" w:w="33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Catalogue coverage, intra-list diversity, novelty, share of long-tail items</w:t>
            </w:r>
          </w:p>
        </w:tc>
        <w:tc>
          <w:tcPr>
            <w:tcW w:type="dxa" w:w="34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Reduces best-seller bias; exposes niche products</w:t>
            </w:r>
          </w:p>
        </w:tc>
      </w:tr>
      <w:tr>
        <w:trPr>
          <w:cantSplit/>
          <w:tblHeader w:val="false"/>
        </w:trPr>
        <w:tc>
          <w:tcPr>
            <w:tcW w:type="dxa" w:w="23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Fairness</w:t>
            </w:r>
          </w:p>
        </w:tc>
        <w:tc>
          <w:tcPr>
            <w:tcW w:type="dxa" w:w="33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Metric gaps across skin type and tone groups, with bootstrap intervals</w:t>
            </w:r>
          </w:p>
        </w:tc>
        <w:tc>
          <w:tcPr>
            <w:tcW w:type="dxa" w:w="3426"/>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Checks that no group is systematically served worse</w:t>
            </w:r>
          </w:p>
        </w:tc>
      </w:tr>
      <w:tr>
        <w:trPr>
          <w:cantSplit/>
          <w:tblHeader w:val="false"/>
        </w:trPr>
        <w:tc>
          <w:tcPr>
            <w:tcW w:type="dxa" w:w="23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Explanation quality</w:t>
            </w:r>
          </w:p>
        </w:tc>
        <w:tc>
          <w:tcPr>
            <w:tcW w:type="dxa" w:w="33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Coverage of recommendations with an explanation; small manual check for plausibility</w:t>
            </w:r>
          </w:p>
        </w:tc>
        <w:tc>
          <w:tcPr>
            <w:tcW w:type="dxa" w:w="34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Trust and usability</w:t>
            </w:r>
          </w:p>
        </w:tc>
      </w:tr>
      <w:tr>
        <w:trPr>
          <w:cantSplit/>
          <w:tblHeader w:val="false"/>
        </w:trPr>
        <w:tc>
          <w:tcPr>
            <w:tcW w:type="dxa" w:w="23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Business translation</w:t>
            </w:r>
          </w:p>
        </w:tc>
        <w:tc>
          <w:tcPr>
            <w:tcW w:type="dxa" w:w="33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Scenario estimate: how a stated relative ranking gain could translate into click or conversion uplift, with assumptions labelled</w:t>
            </w:r>
          </w:p>
        </w:tc>
        <w:tc>
          <w:tcPr>
            <w:tcW w:type="dxa" w:w="3426"/>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Links analytics to commercial value without claiming causality</w:t>
            </w:r>
          </w:p>
        </w:tc>
      </w:tr>
    </w:tbl>
    <w:p>
      <w:pPr>
        <w:spacing w:after="200" w:before="60"/>
      </w:pPr>
      <w:r>
        <w:rPr>
          <w:i/>
          <w:iCs/>
          <w:color w:val="595959"/>
          <w:sz w:val="18"/>
          <w:szCs w:val="18"/>
        </w:rPr>
        <w:t xml:space="preserve">Table 9. Evaluation dimensions. Offline metrics do not prove live business impact; A/B testing would be the recommended next step outside this project.</w:t>
      </w:r>
    </w:p>
    <w:p>
      <w:pPr>
        <w:pStyle w:val="Heading1"/>
      </w:pPr>
      <w:r>
        <w:t xml:space="preserve">12. Risks, Limitations and Ethics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226"/>
      </w:tblGrid>
      <w:tr>
        <w:trPr>
          <w:cantSplit/>
          <w:tblHeader/>
        </w:trPr>
        <w:tc>
          <w:tcPr>
            <w:tcW w:type="dxa" w:w="2500"/>
            <w:tcBorders>
              <w:top w:val="single" w:color="C9C9D1" w:sz="4"/>
              <w:left w:val="single" w:color="C9C9D1" w:sz="4"/>
              <w:bottom w:val="single" w:color="C9C9D1" w:sz="4"/>
              <w:right w:val="single" w:color="C9C9D1" w:sz="4"/>
            </w:tcBorders>
            <w:shd w:fill="1F3A5F" w:color="auto" w:val="clear"/>
            <w:tcMar>
              <w:top w:type="dxa" w:w="70"/>
              <w:left w:type="dxa" w:w="110"/>
              <w:bottom w:type="dxa" w:w="70"/>
              <w:right w:type="dxa" w:w="110"/>
            </w:tcMar>
          </w:tcPr>
          <w:p>
            <w:pPr>
              <w:spacing w:after="30"/>
            </w:pPr>
            <w:r>
              <w:rPr>
                <w:b/>
                <w:bCs/>
                <w:color w:val="FFFFFF"/>
                <w:sz w:val="19"/>
                <w:szCs w:val="19"/>
              </w:rPr>
              <w:t xml:space="preserve">Risk</w:t>
            </w:r>
          </w:p>
        </w:tc>
        <w:tc>
          <w:tcPr>
            <w:tcW w:type="dxa" w:w="3300"/>
            <w:tcBorders>
              <w:top w:val="single" w:color="C9C9D1" w:sz="4"/>
              <w:left w:val="single" w:color="C9C9D1" w:sz="4"/>
              <w:bottom w:val="single" w:color="C9C9D1" w:sz="4"/>
              <w:right w:val="single" w:color="C9C9D1" w:sz="4"/>
            </w:tcBorders>
            <w:shd w:fill="1F3A5F" w:color="auto" w:val="clear"/>
            <w:tcMar>
              <w:top w:type="dxa" w:w="70"/>
              <w:left w:type="dxa" w:w="110"/>
              <w:bottom w:type="dxa" w:w="70"/>
              <w:right w:type="dxa" w:w="110"/>
            </w:tcMar>
          </w:tcPr>
          <w:p>
            <w:pPr>
              <w:spacing w:after="30"/>
            </w:pPr>
            <w:r>
              <w:rPr>
                <w:b/>
                <w:bCs/>
                <w:color w:val="FFFFFF"/>
                <w:sz w:val="19"/>
                <w:szCs w:val="19"/>
              </w:rPr>
              <w:t xml:space="preserve">Description</w:t>
            </w:r>
          </w:p>
        </w:tc>
        <w:tc>
          <w:tcPr>
            <w:tcW w:type="dxa" w:w="3226"/>
            <w:tcBorders>
              <w:top w:val="single" w:color="C9C9D1" w:sz="4"/>
              <w:left w:val="single" w:color="C9C9D1" w:sz="4"/>
              <w:bottom w:val="single" w:color="C9C9D1" w:sz="4"/>
              <w:right w:val="single" w:color="C9C9D1" w:sz="4"/>
            </w:tcBorders>
            <w:shd w:fill="1F3A5F" w:color="auto" w:val="clear"/>
            <w:tcMar>
              <w:top w:type="dxa" w:w="70"/>
              <w:left w:type="dxa" w:w="110"/>
              <w:bottom w:type="dxa" w:w="70"/>
              <w:right w:type="dxa" w:w="110"/>
            </w:tcMar>
          </w:tcPr>
          <w:p>
            <w:pPr>
              <w:spacing w:after="30"/>
            </w:pPr>
            <w:r>
              <w:rPr>
                <w:b/>
                <w:bCs/>
                <w:color w:val="FFFFFF"/>
                <w:sz w:val="19"/>
                <w:szCs w:val="19"/>
              </w:rPr>
              <w:t xml:space="preserve">Mitigation</w:t>
            </w:r>
          </w:p>
        </w:tc>
      </w:tr>
      <w:tr>
        <w:trPr>
          <w:cantSplit/>
          <w:tblHeader w:val="false"/>
        </w:trPr>
        <w:tc>
          <w:tcPr>
            <w:tcW w:type="dxa" w:w="25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Popularity and rating bias</w:t>
            </w:r>
          </w:p>
        </w:tc>
        <w:tc>
          <w:tcPr>
            <w:tcW w:type="dxa" w:w="33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High ratings dominate; long-tail items rarely appear</w:t>
            </w:r>
          </w:p>
        </w:tc>
        <w:tc>
          <w:tcPr>
            <w:tcW w:type="dxa" w:w="32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Use ranking metrics, coverage measures and bias-aware baselines</w:t>
            </w:r>
          </w:p>
        </w:tc>
      </w:tr>
      <w:tr>
        <w:trPr>
          <w:cantSplit/>
          <w:tblHeader w:val="false"/>
        </w:trPr>
        <w:tc>
          <w:tcPr>
            <w:tcW w:type="dxa" w:w="25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Self-reported and missing profiles</w:t>
            </w:r>
          </w:p>
        </w:tc>
        <w:tc>
          <w:tcPr>
            <w:tcW w:type="dxa" w:w="33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Skin type and tone are optional and self-described</w:t>
            </w:r>
          </w:p>
        </w:tc>
        <w:tc>
          <w:tcPr>
            <w:tcW w:type="dxa" w:w="3226"/>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Report missingness; sensitivity analysis; avoid over-interpreting small groups</w:t>
            </w:r>
          </w:p>
        </w:tc>
      </w:tr>
      <w:tr>
        <w:trPr>
          <w:cantSplit/>
          <w:tblHeader w:val="false"/>
        </w:trPr>
        <w:tc>
          <w:tcPr>
            <w:tcW w:type="dxa" w:w="25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Data leakage</w:t>
            </w:r>
          </w:p>
        </w:tc>
        <w:tc>
          <w:tcPr>
            <w:tcW w:type="dxa" w:w="33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Future information in training features</w:t>
            </w:r>
          </w:p>
        </w:tc>
        <w:tc>
          <w:tcPr>
            <w:tcW w:type="dxa" w:w="32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Time-aware splits; feature building only on training windows</w:t>
            </w:r>
          </w:p>
        </w:tc>
      </w:tr>
      <w:tr>
        <w:trPr>
          <w:cantSplit/>
          <w:tblHeader w:val="false"/>
        </w:trPr>
        <w:tc>
          <w:tcPr>
            <w:tcW w:type="dxa" w:w="25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Text noise and sarcasm</w:t>
            </w:r>
          </w:p>
        </w:tc>
        <w:tc>
          <w:tcPr>
            <w:tcW w:type="dxa" w:w="33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Lexicon tools misread nuance and mixed-language text</w:t>
            </w:r>
          </w:p>
        </w:tc>
        <w:tc>
          <w:tcPr>
            <w:tcW w:type="dxa" w:w="3226"/>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Compare with embedding models; manual validation sample</w:t>
            </w:r>
          </w:p>
        </w:tc>
      </w:tr>
      <w:tr>
        <w:trPr>
          <w:cantSplit/>
          <w:tblHeader w:val="false"/>
        </w:trPr>
        <w:tc>
          <w:tcPr>
            <w:tcW w:type="dxa" w:w="25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Multiple testing</w:t>
            </w:r>
          </w:p>
        </w:tc>
        <w:tc>
          <w:tcPr>
            <w:tcW w:type="dxa" w:w="33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Many product-level comparisons inflate false positives</w:t>
            </w:r>
          </w:p>
        </w:tc>
        <w:tc>
          <w:tcPr>
            <w:tcW w:type="dxa" w:w="32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Correction procedures; report effect sizes, not only p-values</w:t>
            </w:r>
          </w:p>
        </w:tc>
      </w:tr>
      <w:tr>
        <w:trPr>
          <w:cantSplit/>
          <w:tblHeader w:val="false"/>
        </w:trPr>
        <w:tc>
          <w:tcPr>
            <w:tcW w:type="dxa" w:w="25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Health and safety</w:t>
            </w:r>
          </w:p>
        </w:tc>
        <w:tc>
          <w:tcPr>
            <w:tcW w:type="dxa" w:w="33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Users may treat recommendations as medical advice; ingredient sensitivity is individual</w:t>
            </w:r>
          </w:p>
        </w:tc>
        <w:tc>
          <w:tcPr>
            <w:tcW w:type="dxa" w:w="3226"/>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Clear disclaimer; exclude medical claims; ingredient exclusions are user-driven filters</w:t>
            </w:r>
          </w:p>
        </w:tc>
      </w:tr>
      <w:tr>
        <w:trPr>
          <w:cantSplit/>
          <w:tblHeader w:val="false"/>
        </w:trPr>
        <w:tc>
          <w:tcPr>
            <w:tcW w:type="dxa" w:w="25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Privacy and licensing</w:t>
            </w:r>
          </w:p>
        </w:tc>
        <w:tc>
          <w:tcPr>
            <w:tcW w:type="dxa" w:w="33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Reviews are user-generated; dataset terms may restrict use</w:t>
            </w:r>
          </w:p>
        </w:tc>
        <w:tc>
          <w:tcPr>
            <w:tcW w:type="dxa" w:w="32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Use anonymised author IDs only, no re-identification, verify licence, keep raw data out of public repositories if required</w:t>
            </w:r>
          </w:p>
        </w:tc>
      </w:tr>
      <w:tr>
        <w:trPr>
          <w:cantSplit/>
          <w:tblHeader w:val="false"/>
        </w:trPr>
        <w:tc>
          <w:tcPr>
            <w:tcW w:type="dxa" w:w="25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Fairness</w:t>
            </w:r>
          </w:p>
        </w:tc>
        <w:tc>
          <w:tcPr>
            <w:tcW w:type="dxa" w:w="33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Under-representation of some skin tones can degrade quality for them</w:t>
            </w:r>
          </w:p>
        </w:tc>
        <w:tc>
          <w:tcPr>
            <w:tcW w:type="dxa" w:w="3226"/>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Subgroup evaluation; document gaps; recommend data collection improvements</w:t>
            </w:r>
          </w:p>
        </w:tc>
      </w:tr>
    </w:tbl>
    <w:p>
      <w:pPr>
        <w:spacing w:after="200" w:before="60"/>
      </w:pPr>
      <w:r>
        <w:rPr>
          <w:i/>
          <w:iCs/>
          <w:color w:val="595959"/>
          <w:sz w:val="18"/>
          <w:szCs w:val="18"/>
        </w:rPr>
        <w:t xml:space="preserve">Table 10. Risk register.</w:t>
      </w:r>
    </w:p>
    <w:p>
      <w:pPr>
        <w:spacing w:after="140" w:line="288"/>
      </w:pPr>
      <w:r>
        <w:rPr>
          <w:b/>
          <w:bCs/>
        </w:rPr>
        <w:t xml:space="preserve">Ethical stance:</w:t>
      </w:r>
      <w:r>
        <w:t xml:space="preserve"> the project treats personal appearance attributes (skin tone in particular) as sensitive. They are used only to improve fit and to audit fairness, never to rank or exclude people, and results will be reported at aggregate level.</w:t>
      </w:r>
    </w:p>
    <w:p>
      <w:pPr>
        <w:pStyle w:val="Heading1"/>
      </w:pPr>
      <w:r>
        <w:t xml:space="preserve">13. Timeline, Effort Allocation and Next Steps</w:t>
      </w:r>
    </w:p>
    <w:p>
      <w:pPr>
        <w:pStyle w:val="Heading2"/>
      </w:pPr>
      <w:r>
        <w:t xml:space="preserve">13.1 Effort allocation for Week 1 (approximately 33 hours)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1400"/>
        <w:gridCol w:w="3326"/>
      </w:tblGrid>
      <w:tr>
        <w:trPr>
          <w:cantSplit/>
          <w:tblHeader/>
        </w:trPr>
        <w:tc>
          <w:tcPr>
            <w:tcW w:type="dxa" w:w="4300"/>
            <w:tcBorders>
              <w:top w:val="single" w:color="C9C9D1" w:sz="4"/>
              <w:left w:val="single" w:color="C9C9D1" w:sz="4"/>
              <w:bottom w:val="single" w:color="C9C9D1" w:sz="4"/>
              <w:right w:val="single" w:color="C9C9D1" w:sz="4"/>
            </w:tcBorders>
            <w:shd w:fill="1F3A5F" w:color="auto" w:val="clear"/>
            <w:tcMar>
              <w:top w:type="dxa" w:w="70"/>
              <w:left w:type="dxa" w:w="110"/>
              <w:bottom w:type="dxa" w:w="70"/>
              <w:right w:type="dxa" w:w="110"/>
            </w:tcMar>
          </w:tcPr>
          <w:p>
            <w:pPr>
              <w:spacing w:after="30"/>
            </w:pPr>
            <w:r>
              <w:rPr>
                <w:b/>
                <w:bCs/>
                <w:color w:val="FFFFFF"/>
                <w:sz w:val="19"/>
                <w:szCs w:val="19"/>
              </w:rPr>
              <w:t xml:space="preserve">Activity</w:t>
            </w:r>
          </w:p>
        </w:tc>
        <w:tc>
          <w:tcPr>
            <w:tcW w:type="dxa" w:w="1400"/>
            <w:tcBorders>
              <w:top w:val="single" w:color="C9C9D1" w:sz="4"/>
              <w:left w:val="single" w:color="C9C9D1" w:sz="4"/>
              <w:bottom w:val="single" w:color="C9C9D1" w:sz="4"/>
              <w:right w:val="single" w:color="C9C9D1" w:sz="4"/>
            </w:tcBorders>
            <w:shd w:fill="1F3A5F" w:color="auto" w:val="clear"/>
            <w:tcMar>
              <w:top w:type="dxa" w:w="70"/>
              <w:left w:type="dxa" w:w="110"/>
              <w:bottom w:type="dxa" w:w="70"/>
              <w:right w:type="dxa" w:w="110"/>
            </w:tcMar>
          </w:tcPr>
          <w:p>
            <w:pPr>
              <w:spacing w:after="30"/>
            </w:pPr>
            <w:r>
              <w:rPr>
                <w:b/>
                <w:bCs/>
                <w:color w:val="FFFFFF"/>
                <w:sz w:val="19"/>
                <w:szCs w:val="19"/>
              </w:rPr>
              <w:t xml:space="preserve">Hours</w:t>
            </w:r>
          </w:p>
        </w:tc>
        <w:tc>
          <w:tcPr>
            <w:tcW w:type="dxa" w:w="3326"/>
            <w:tcBorders>
              <w:top w:val="single" w:color="C9C9D1" w:sz="4"/>
              <w:left w:val="single" w:color="C9C9D1" w:sz="4"/>
              <w:bottom w:val="single" w:color="C9C9D1" w:sz="4"/>
              <w:right w:val="single" w:color="C9C9D1" w:sz="4"/>
            </w:tcBorders>
            <w:shd w:fill="1F3A5F" w:color="auto" w:val="clear"/>
            <w:tcMar>
              <w:top w:type="dxa" w:w="70"/>
              <w:left w:type="dxa" w:w="110"/>
              <w:bottom w:type="dxa" w:w="70"/>
              <w:right w:type="dxa" w:w="110"/>
            </w:tcMar>
          </w:tcPr>
          <w:p>
            <w:pPr>
              <w:spacing w:after="30"/>
            </w:pPr>
            <w:r>
              <w:rPr>
                <w:b/>
                <w:bCs/>
                <w:color w:val="FFFFFF"/>
                <w:sz w:val="19"/>
                <w:szCs w:val="19"/>
              </w:rPr>
              <w:t xml:space="preserve">Output</w:t>
            </w:r>
          </w:p>
        </w:tc>
      </w:tr>
      <w:tr>
        <w:trPr>
          <w:cantSplit/>
          <w:tblHeader w:val="false"/>
        </w:trPr>
        <w:tc>
          <w:tcPr>
            <w:tcW w:type="dxa" w:w="43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Industry and trend research (market reports, trade sources)</w:t>
            </w:r>
          </w:p>
        </w:tc>
        <w:tc>
          <w:tcPr>
            <w:tcW w:type="dxa" w:w="14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7</w:t>
            </w:r>
          </w:p>
        </w:tc>
        <w:tc>
          <w:tcPr>
            <w:tcW w:type="dxa" w:w="33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Section 2</w:t>
            </w:r>
          </w:p>
        </w:tc>
      </w:tr>
      <w:tr>
        <w:trPr>
          <w:cantSplit/>
          <w:tblHeader w:val="false"/>
        </w:trPr>
        <w:tc>
          <w:tcPr>
            <w:tcW w:type="dxa" w:w="43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Academic and applied literature review</w:t>
            </w:r>
          </w:p>
        </w:tc>
        <w:tc>
          <w:tcPr>
            <w:tcW w:type="dxa" w:w="14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6</w:t>
            </w:r>
          </w:p>
        </w:tc>
        <w:tc>
          <w:tcPr>
            <w:tcW w:type="dxa" w:w="3326"/>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Section 6</w:t>
            </w:r>
          </w:p>
        </w:tc>
      </w:tr>
      <w:tr>
        <w:trPr>
          <w:cantSplit/>
          <w:tblHeader w:val="false"/>
        </w:trPr>
        <w:tc>
          <w:tcPr>
            <w:tcW w:type="dxa" w:w="43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Problem selection and definition</w:t>
            </w:r>
          </w:p>
        </w:tc>
        <w:tc>
          <w:tcPr>
            <w:tcW w:type="dxa" w:w="14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4</w:t>
            </w:r>
          </w:p>
        </w:tc>
        <w:tc>
          <w:tcPr>
            <w:tcW w:type="dxa" w:w="33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Sections 3–5</w:t>
            </w:r>
          </w:p>
        </w:tc>
      </w:tr>
      <w:tr>
        <w:trPr>
          <w:cantSplit/>
          <w:tblHeader w:val="false"/>
        </w:trPr>
        <w:tc>
          <w:tcPr>
            <w:tcW w:type="dxa" w:w="43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Research questions and hypotheses</w:t>
            </w:r>
          </w:p>
        </w:tc>
        <w:tc>
          <w:tcPr>
            <w:tcW w:type="dxa" w:w="14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3</w:t>
            </w:r>
          </w:p>
        </w:tc>
        <w:tc>
          <w:tcPr>
            <w:tcW w:type="dxa" w:w="3326"/>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Section 7</w:t>
            </w:r>
          </w:p>
        </w:tc>
      </w:tr>
      <w:tr>
        <w:trPr>
          <w:cantSplit/>
          <w:tblHeader w:val="false"/>
        </w:trPr>
        <w:tc>
          <w:tcPr>
            <w:tcW w:type="dxa" w:w="43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Dataset scouting, variable mapping and data risk review</w:t>
            </w:r>
          </w:p>
        </w:tc>
        <w:tc>
          <w:tcPr>
            <w:tcW w:type="dxa" w:w="14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4</w:t>
            </w:r>
          </w:p>
        </w:tc>
        <w:tc>
          <w:tcPr>
            <w:tcW w:type="dxa" w:w="33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Section 8</w:t>
            </w:r>
          </w:p>
        </w:tc>
      </w:tr>
      <w:tr>
        <w:trPr>
          <w:cantSplit/>
          <w:tblHeader w:val="false"/>
        </w:trPr>
        <w:tc>
          <w:tcPr>
            <w:tcW w:type="dxa" w:w="43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Analysis plan, tools and evaluation design</w:t>
            </w:r>
          </w:p>
        </w:tc>
        <w:tc>
          <w:tcPr>
            <w:tcW w:type="dxa" w:w="14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4</w:t>
            </w:r>
          </w:p>
        </w:tc>
        <w:tc>
          <w:tcPr>
            <w:tcW w:type="dxa" w:w="3326"/>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Sections 9–12</w:t>
            </w:r>
          </w:p>
        </w:tc>
      </w:tr>
      <w:tr>
        <w:trPr>
          <w:cantSplit/>
          <w:tblHeader w:val="false"/>
        </w:trPr>
        <w:tc>
          <w:tcPr>
            <w:tcW w:type="dxa" w:w="43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Writing, editing, formatting and review</w:t>
            </w:r>
          </w:p>
        </w:tc>
        <w:tc>
          <w:tcPr>
            <w:tcW w:type="dxa" w:w="14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5</w:t>
            </w:r>
          </w:p>
        </w:tc>
        <w:tc>
          <w:tcPr>
            <w:tcW w:type="dxa" w:w="33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This document</w:t>
            </w:r>
          </w:p>
        </w:tc>
      </w:tr>
      <w:tr>
        <w:trPr>
          <w:cantSplit/>
          <w:tblHeader w:val="false"/>
        </w:trPr>
        <w:tc>
          <w:tcPr>
            <w:tcW w:type="dxa" w:w="43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b/>
                <w:bCs/>
                <w:sz w:val="19"/>
                <w:szCs w:val="19"/>
              </w:rPr>
              <w:t xml:space="preserve">Total</w:t>
            </w:r>
          </w:p>
        </w:tc>
        <w:tc>
          <w:tcPr>
            <w:tcW w:type="dxa" w:w="14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b/>
                <w:bCs/>
                <w:sz w:val="19"/>
                <w:szCs w:val="19"/>
              </w:rPr>
              <w:t xml:space="preserve">33</w:t>
            </w:r>
          </w:p>
        </w:tc>
        <w:tc>
          <w:tcPr>
            <w:tcW w:type="dxa" w:w="3326"/>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p>
        </w:tc>
      </w:tr>
    </w:tbl>
    <w:p>
      <w:pPr>
        <w:spacing w:after="200" w:before="60"/>
      </w:pPr>
      <w:r>
        <w:rPr>
          <w:i/>
          <w:iCs/>
          <w:color w:val="595959"/>
          <w:sz w:val="18"/>
          <w:szCs w:val="18"/>
        </w:rPr>
        <w:t xml:space="preserve">Table 11. Suggested effort allocation.</w:t>
      </w:r>
    </w:p>
    <w:p>
      <w:pPr>
        <w:pStyle w:val="Heading2"/>
      </w:pPr>
      <w:r>
        <w:t xml:space="preserve">13.2 Indicative roadmap for subsequent weeks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626"/>
      </w:tblGrid>
      <w:tr>
        <w:trPr>
          <w:cantSplit/>
          <w:tblHeader/>
        </w:trPr>
        <w:tc>
          <w:tcPr>
            <w:tcW w:type="dxa" w:w="1700"/>
            <w:tcBorders>
              <w:top w:val="single" w:color="C9C9D1" w:sz="4"/>
              <w:left w:val="single" w:color="C9C9D1" w:sz="4"/>
              <w:bottom w:val="single" w:color="C9C9D1" w:sz="4"/>
              <w:right w:val="single" w:color="C9C9D1" w:sz="4"/>
            </w:tcBorders>
            <w:shd w:fill="1F3A5F" w:color="auto" w:val="clear"/>
            <w:tcMar>
              <w:top w:type="dxa" w:w="70"/>
              <w:left w:type="dxa" w:w="110"/>
              <w:bottom w:type="dxa" w:w="70"/>
              <w:right w:type="dxa" w:w="110"/>
            </w:tcMar>
          </w:tcPr>
          <w:p>
            <w:pPr>
              <w:spacing w:after="30"/>
            </w:pPr>
            <w:r>
              <w:rPr>
                <w:b/>
                <w:bCs/>
                <w:color w:val="FFFFFF"/>
                <w:sz w:val="19"/>
                <w:szCs w:val="19"/>
              </w:rPr>
              <w:t xml:space="preserve">Week</w:t>
            </w:r>
          </w:p>
        </w:tc>
        <w:tc>
          <w:tcPr>
            <w:tcW w:type="dxa" w:w="3700"/>
            <w:tcBorders>
              <w:top w:val="single" w:color="C9C9D1" w:sz="4"/>
              <w:left w:val="single" w:color="C9C9D1" w:sz="4"/>
              <w:bottom w:val="single" w:color="C9C9D1" w:sz="4"/>
              <w:right w:val="single" w:color="C9C9D1" w:sz="4"/>
            </w:tcBorders>
            <w:shd w:fill="1F3A5F" w:color="auto" w:val="clear"/>
            <w:tcMar>
              <w:top w:type="dxa" w:w="70"/>
              <w:left w:type="dxa" w:w="110"/>
              <w:bottom w:type="dxa" w:w="70"/>
              <w:right w:type="dxa" w:w="110"/>
            </w:tcMar>
          </w:tcPr>
          <w:p>
            <w:pPr>
              <w:spacing w:after="30"/>
            </w:pPr>
            <w:r>
              <w:rPr>
                <w:b/>
                <w:bCs/>
                <w:color w:val="FFFFFF"/>
                <w:sz w:val="19"/>
                <w:szCs w:val="19"/>
              </w:rPr>
              <w:t xml:space="preserve">Focus</w:t>
            </w:r>
          </w:p>
        </w:tc>
        <w:tc>
          <w:tcPr>
            <w:tcW w:type="dxa" w:w="3626"/>
            <w:tcBorders>
              <w:top w:val="single" w:color="C9C9D1" w:sz="4"/>
              <w:left w:val="single" w:color="C9C9D1" w:sz="4"/>
              <w:bottom w:val="single" w:color="C9C9D1" w:sz="4"/>
              <w:right w:val="single" w:color="C9C9D1" w:sz="4"/>
            </w:tcBorders>
            <w:shd w:fill="1F3A5F" w:color="auto" w:val="clear"/>
            <w:tcMar>
              <w:top w:type="dxa" w:w="70"/>
              <w:left w:type="dxa" w:w="110"/>
              <w:bottom w:type="dxa" w:w="70"/>
              <w:right w:type="dxa" w:w="110"/>
            </w:tcMar>
          </w:tcPr>
          <w:p>
            <w:pPr>
              <w:spacing w:after="30"/>
            </w:pPr>
            <w:r>
              <w:rPr>
                <w:b/>
                <w:bCs/>
                <w:color w:val="FFFFFF"/>
                <w:sz w:val="19"/>
                <w:szCs w:val="19"/>
              </w:rPr>
              <w:t xml:space="preserve">Deliverable</w:t>
            </w:r>
          </w:p>
        </w:tc>
      </w:tr>
      <w:tr>
        <w:trPr>
          <w:cantSplit/>
          <w:tblHeader w:val="false"/>
        </w:trPr>
        <w:tc>
          <w:tcPr>
            <w:tcW w:type="dxa" w:w="17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2</w:t>
            </w:r>
          </w:p>
        </w:tc>
        <w:tc>
          <w:tcPr>
            <w:tcW w:type="dxa" w:w="37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Data acquisition, audit and cleaning (Phases 1–2)</w:t>
            </w:r>
          </w:p>
        </w:tc>
        <w:tc>
          <w:tcPr>
            <w:tcW w:type="dxa" w:w="36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Data dictionary; clean dataset; audit report</w:t>
            </w:r>
          </w:p>
        </w:tc>
      </w:tr>
      <w:tr>
        <w:trPr>
          <w:cantSplit/>
          <w:tblHeader w:val="false"/>
        </w:trPr>
        <w:tc>
          <w:tcPr>
            <w:tcW w:type="dxa" w:w="17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3</w:t>
            </w:r>
          </w:p>
        </w:tc>
        <w:tc>
          <w:tcPr>
            <w:tcW w:type="dxa" w:w="37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Exploratory data analysis and initial insights (Phase 3)</w:t>
            </w:r>
          </w:p>
        </w:tc>
        <w:tc>
          <w:tcPr>
            <w:tcW w:type="dxa" w:w="3626"/>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EDA notebook and insight summary</w:t>
            </w:r>
          </w:p>
        </w:tc>
      </w:tr>
      <w:tr>
        <w:trPr>
          <w:cantSplit/>
          <w:tblHeader w:val="false"/>
        </w:trPr>
        <w:tc>
          <w:tcPr>
            <w:tcW w:type="dxa" w:w="17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4</w:t>
            </w:r>
          </w:p>
        </w:tc>
        <w:tc>
          <w:tcPr>
            <w:tcW w:type="dxa" w:w="37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Feature engineering and baselines (Phases 4–5)</w:t>
            </w:r>
          </w:p>
        </w:tc>
        <w:tc>
          <w:tcPr>
            <w:tcW w:type="dxa" w:w="36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Feature documentation; baseline metrics</w:t>
            </w:r>
          </w:p>
        </w:tc>
      </w:tr>
      <w:tr>
        <w:trPr>
          <w:cantSplit/>
          <w:tblHeader w:val="false"/>
        </w:trPr>
        <w:tc>
          <w:tcPr>
            <w:tcW w:type="dxa" w:w="17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5</w:t>
            </w:r>
          </w:p>
        </w:tc>
        <w:tc>
          <w:tcPr>
            <w:tcW w:type="dxa" w:w="37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Modelling and cold-start pathway (Phase 6)</w:t>
            </w:r>
          </w:p>
        </w:tc>
        <w:tc>
          <w:tcPr>
            <w:tcW w:type="dxa" w:w="3626"/>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Model comparison</w:t>
            </w:r>
          </w:p>
        </w:tc>
      </w:tr>
      <w:tr>
        <w:trPr>
          <w:cantSplit/>
          <w:tblHeader w:val="false"/>
        </w:trPr>
        <w:tc>
          <w:tcPr>
            <w:tcW w:type="dxa" w:w="17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6</w:t>
            </w:r>
          </w:p>
        </w:tc>
        <w:tc>
          <w:tcPr>
            <w:tcW w:type="dxa" w:w="37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Evaluation, hypothesis tests and fairness (Phase 7)</w:t>
            </w:r>
          </w:p>
        </w:tc>
        <w:tc>
          <w:tcPr>
            <w:tcW w:type="dxa" w:w="36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Results and statistical appendix</w:t>
            </w:r>
          </w:p>
        </w:tc>
      </w:tr>
      <w:tr>
        <w:trPr>
          <w:cantSplit/>
          <w:tblHeader w:val="false"/>
        </w:trPr>
        <w:tc>
          <w:tcPr>
            <w:tcW w:type="dxa" w:w="17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7</w:t>
            </w:r>
          </w:p>
        </w:tc>
        <w:tc>
          <w:tcPr>
            <w:tcW w:type="dxa" w:w="37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Interpretation, explanation layer and final report (Phase 8)</w:t>
            </w:r>
          </w:p>
        </w:tc>
        <w:tc>
          <w:tcPr>
            <w:tcW w:type="dxa" w:w="3626"/>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Final report and optional demo</w:t>
            </w:r>
          </w:p>
        </w:tc>
      </w:tr>
    </w:tbl>
    <w:p>
      <w:pPr>
        <w:spacing w:after="200" w:before="60"/>
      </w:pPr>
      <w:r>
        <w:rPr>
          <w:i/>
          <w:iCs/>
          <w:color w:val="595959"/>
          <w:sz w:val="18"/>
          <w:szCs w:val="18"/>
        </w:rPr>
        <w:t xml:space="preserve">Table 12. Indicative roadmap; adjust to the programme's actual schedule.</w:t>
      </w:r>
    </w:p>
    <w:p>
      <w:pPr>
        <w:pStyle w:val="Heading2"/>
      </w:pPr>
      <w:r>
        <w:t xml:space="preserve">13.3 Immediate next actions</w:t>
      </w:r>
    </w:p>
    <w:p>
      <w:pPr>
        <w:pStyle w:val="ListParagraph"/>
        <w:numPr>
          <w:ilvl w:val="0"/>
          <w:numId w:val="4"/>
        </w:numPr>
        <w:spacing w:after="80" w:line="276"/>
      </w:pPr>
      <w:r>
        <w:t xml:space="preserve">Confirm the dataset licence and download the files.</w:t>
      </w:r>
    </w:p>
    <w:p>
      <w:pPr>
        <w:pStyle w:val="ListParagraph"/>
        <w:numPr>
          <w:ilvl w:val="0"/>
          <w:numId w:val="4"/>
        </w:numPr>
        <w:spacing w:after="80" w:line="276"/>
      </w:pPr>
      <w:r>
        <w:t xml:space="preserve">Verify actual column names and update Table 6.</w:t>
      </w:r>
    </w:p>
    <w:p>
      <w:pPr>
        <w:pStyle w:val="ListParagraph"/>
        <w:numPr>
          <w:ilvl w:val="0"/>
          <w:numId w:val="4"/>
        </w:numPr>
        <w:spacing w:after="80" w:line="276"/>
      </w:pPr>
      <w:r>
        <w:t xml:space="preserve">Set up the project repository, environment file and folder structure.</w:t>
      </w:r>
    </w:p>
    <w:p>
      <w:pPr>
        <w:pStyle w:val="ListParagraph"/>
        <w:numPr>
          <w:ilvl w:val="0"/>
          <w:numId w:val="4"/>
        </w:numPr>
        <w:spacing w:after="80" w:line="276"/>
      </w:pPr>
      <w:r>
        <w:t xml:space="preserve">Run the first data profile and check the size of the cold-start segment and skin-profile missingness, which determine how strongly H2 and H6 can be tested.</w:t>
      </w:r>
    </w:p>
    <w:p>
      <w:pPr>
        <w:pStyle w:val="ListParagraph"/>
        <w:numPr>
          <w:ilvl w:val="0"/>
          <w:numId w:val="4"/>
        </w:numPr>
        <w:spacing w:after="80" w:line="276"/>
      </w:pPr>
      <w:r>
        <w:t xml:space="preserve">Refine hypotheses if the audit shows constraints.</w:t>
      </w:r>
    </w:p>
    <w:p>
      <w:pPr>
        <w:pStyle w:val="Heading1"/>
      </w:pPr>
      <w:r>
        <w:t xml:space="preserve">14. References</w:t>
      </w:r>
    </w:p>
    <w:p>
      <w:pPr>
        <w:spacing w:after="100" w:line="264"/>
        <w:ind w:left="360" w:hanging="360"/>
      </w:pPr>
      <w:r>
        <w:rPr>
          <w:sz w:val="20"/>
          <w:szCs w:val="20"/>
        </w:rPr>
        <w:t xml:space="preserve">[1] McKinsey &amp; Company (2026). State of Beauty 2026 (industry trends report, June 2026). https://www.mckinsey.com/industries/consumer-packaged-goods/our-insights/state-of-beauty</w:t>
      </w:r>
    </w:p>
    <w:p>
      <w:pPr>
        <w:spacing w:after="100" w:line="264"/>
        <w:ind w:left="360" w:hanging="360"/>
      </w:pPr>
      <w:r>
        <w:rPr>
          <w:sz w:val="20"/>
          <w:szCs w:val="20"/>
        </w:rPr>
        <w:t xml:space="preserve">[2] McKinsey &amp; Company (2025). State of Beauty 2025: Solving a shifting growth puzzle. https://www.mckinsey.com/industries/consumer-packaged-goods/our-insights/state-of-beauty</w:t>
      </w:r>
    </w:p>
    <w:p>
      <w:pPr>
        <w:spacing w:after="100" w:line="264"/>
        <w:ind w:left="360" w:hanging="360"/>
      </w:pPr>
      <w:r>
        <w:rPr>
          <w:sz w:val="20"/>
          <w:szCs w:val="20"/>
        </w:rPr>
        <w:t xml:space="preserve">[3] SPINS (2026). State of Beauty &amp; Body Care 2026 (data for 52 weeks ending 17 May 2026; powered by Circana and Stackline). https://www.spins.com/resources/report/state-of-beauty-body-care-2026/</w:t>
      </w:r>
    </w:p>
    <w:p>
      <w:pPr>
        <w:spacing w:after="100" w:line="264"/>
        <w:ind w:left="360" w:hanging="360"/>
      </w:pPr>
      <w:r>
        <w:rPr>
          <w:sz w:val="20"/>
          <w:szCs w:val="20"/>
        </w:rPr>
        <w:t xml:space="preserve">[4] NEWPRINT (2026). 8 Key Cosmetic Market Statistics on Size, Market Share, and Trends (secondary source summarising McKinsey and Statista projections). https://www.newprint.com/blog/cosmetic-market-statistics</w:t>
      </w:r>
    </w:p>
    <w:p>
      <w:pPr>
        <w:spacing w:after="100" w:line="264"/>
        <w:ind w:left="360" w:hanging="360"/>
      </w:pPr>
      <w:r>
        <w:rPr>
          <w:sz w:val="20"/>
          <w:szCs w:val="20"/>
        </w:rPr>
        <w:t xml:space="preserve">[5] Kaggle. Sephora Products and Skincare Reviews (dataset by nadyinky). https://www.kaggle.com/datasets/nadyinky/sephora-products-and-skincare-reviews</w:t>
      </w:r>
    </w:p>
    <w:p>
      <w:pPr>
        <w:spacing w:after="100" w:line="264"/>
        <w:ind w:left="360" w:hanging="360"/>
      </w:pPr>
      <w:r>
        <w:rPr>
          <w:sz w:val="20"/>
          <w:szCs w:val="20"/>
        </w:rPr>
        <w:t xml:space="preserve">[6] Lee, J., et al. (2024). Deep learning-based skin care product recommendation: A focus on cosmetic ingredient analysis and facial skin conditions. Journal of Cosmetic Dermatology. https://onlinelibrary.wiley.com/doi/10.1111/jocd.16218</w:t>
      </w:r>
    </w:p>
    <w:p>
      <w:pPr>
        <w:spacing w:after="100" w:line="264"/>
        <w:ind w:left="360" w:hanging="360"/>
      </w:pPr>
      <w:r>
        <w:rPr>
          <w:sz w:val="20"/>
          <w:szCs w:val="20"/>
        </w:rPr>
        <w:t xml:space="preserve">[7] Beauty Beyond Words: Explainable Beauty Product Recommendations Using Ingredient-Based Product Attributes (2024). arXiv:2409.13628. https://arxiv.org/abs/2409.13628</w:t>
      </w:r>
    </w:p>
    <w:p>
      <w:pPr>
        <w:spacing w:after="100" w:line="264"/>
        <w:ind w:left="360" w:hanging="360"/>
      </w:pPr>
      <w:r>
        <w:rPr>
          <w:sz w:val="20"/>
          <w:szCs w:val="20"/>
        </w:rPr>
        <w:t xml:space="preserve">[8] A Content-based Skincare Product Recommendation System. International Journal of Latest Technology in Engineering, Management &amp; Applied Science (IJLTEMAS).</w:t>
      </w:r>
    </w:p>
    <w:p>
      <w:pPr>
        <w:spacing w:after="100" w:line="264"/>
        <w:ind w:left="360" w:hanging="360"/>
      </w:pPr>
      <w:r>
        <w:rPr>
          <w:sz w:val="20"/>
          <w:szCs w:val="20"/>
        </w:rPr>
        <w:t xml:space="preserve">[9] Himaeda (2020). Personalized Recommendation on Sephora using Neural Collaborative Filtering. Medium (applied project write-up). https://himaeda.medium.com/personalized-recommendation-on-sephora-using-neural-collaborative-filtering-1d4c1fa3f98d</w:t>
      </w:r>
    </w:p>
    <w:p>
      <w:pPr>
        <w:spacing w:after="100" w:line="264"/>
        <w:ind w:left="360" w:hanging="360"/>
      </w:pPr>
      <w:r>
        <w:rPr>
          <w:sz w:val="20"/>
          <w:szCs w:val="20"/>
        </w:rPr>
        <w:t xml:space="preserve">[10] Pazzani, M. J., &amp; Billsus, D. (2007). Content-based recommendation systems. In The Adaptive Web (pp. 325–341). Springer.</w:t>
      </w:r>
    </w:p>
    <w:p>
      <w:pPr>
        <w:spacing w:after="100" w:line="264"/>
        <w:ind w:left="360" w:hanging="360"/>
      </w:pPr>
      <w:r>
        <w:rPr>
          <w:sz w:val="20"/>
          <w:szCs w:val="20"/>
        </w:rPr>
        <w:t xml:space="preserve">[11] Koren, Y., Bell, R., &amp; Volinsky, C. (2009). Matrix factorization techniques for recommender systems. Computer, 42(8), 30–37.</w:t>
      </w:r>
    </w:p>
    <w:p>
      <w:pPr>
        <w:spacing w:after="100" w:line="264"/>
        <w:ind w:left="360" w:hanging="360"/>
      </w:pPr>
      <w:r>
        <w:rPr>
          <w:sz w:val="20"/>
          <w:szCs w:val="20"/>
        </w:rPr>
        <w:t xml:space="preserve">[12] Schein, A. I., Popescul, A., Ungar, L. H., &amp; Pennock, D. M. (2002). Methods and metrics for cold-start recommendations. Proceedings of SIGIR 2002.</w:t>
      </w:r>
    </w:p>
    <w:p>
      <w:pPr>
        <w:spacing w:after="100" w:line="264"/>
        <w:ind w:left="360" w:hanging="360"/>
      </w:pPr>
      <w:r>
        <w:rPr>
          <w:sz w:val="20"/>
          <w:szCs w:val="20"/>
        </w:rPr>
        <w:t xml:space="preserve">[13] Hutto, C. J., &amp; Gilbert, E. (2014). VADER: A parsimonious rule-based model for sentiment analysis of social media text. Proceedings of ICWSM 2014.</w:t>
      </w:r>
    </w:p>
    <w:p>
      <w:pPr>
        <w:spacing w:after="140" w:line="288"/>
      </w:pPr>
      <w:r>
        <w:rPr>
          <w:i/>
          <w:iCs/>
          <w:color w:val="595959"/>
          <w:sz w:val="18"/>
          <w:szCs w:val="18"/>
        </w:rPr>
        <w:t xml:space="preserve">Note: sources [1]–[4] and [5]–[9] were retrieved from public web pages in September 2026; sources [10]–[13] are established academic references cited from general knowledge. Bibliographic details should be double-checked before formal submission.</w:t>
      </w:r>
    </w:p>
    <w:p>
      <w:pPr>
        <w:pStyle w:val="Heading1"/>
      </w:pPr>
      <w:r>
        <w:t xml:space="preserve">Appendix A.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C9C9D1" w:sz="4"/>
              <w:left w:val="single" w:color="C9C9D1" w:sz="4"/>
              <w:bottom w:val="single" w:color="C9C9D1" w:sz="4"/>
              <w:right w:val="single" w:color="C9C9D1" w:sz="4"/>
            </w:tcBorders>
            <w:shd w:fill="1F3A5F" w:color="auto" w:val="clear"/>
            <w:tcMar>
              <w:top w:type="dxa" w:w="70"/>
              <w:left w:type="dxa" w:w="110"/>
              <w:bottom w:type="dxa" w:w="70"/>
              <w:right w:type="dxa" w:w="110"/>
            </w:tcMar>
          </w:tcPr>
          <w:p>
            <w:pPr>
              <w:spacing w:after="30"/>
            </w:pPr>
            <w:r>
              <w:rPr>
                <w:b/>
                <w:bCs/>
                <w:color w:val="FFFFFF"/>
                <w:sz w:val="19"/>
                <w:szCs w:val="19"/>
              </w:rPr>
              <w:t xml:space="preserve">Term</w:t>
            </w:r>
          </w:p>
        </w:tc>
        <w:tc>
          <w:tcPr>
            <w:tcW w:type="dxa" w:w="6726"/>
            <w:tcBorders>
              <w:top w:val="single" w:color="C9C9D1" w:sz="4"/>
              <w:left w:val="single" w:color="C9C9D1" w:sz="4"/>
              <w:bottom w:val="single" w:color="C9C9D1" w:sz="4"/>
              <w:right w:val="single" w:color="C9C9D1" w:sz="4"/>
            </w:tcBorders>
            <w:shd w:fill="1F3A5F" w:color="auto" w:val="clear"/>
            <w:tcMar>
              <w:top w:type="dxa" w:w="70"/>
              <w:left w:type="dxa" w:w="110"/>
              <w:bottom w:type="dxa" w:w="70"/>
              <w:right w:type="dxa" w:w="110"/>
            </w:tcMar>
          </w:tcPr>
          <w:p>
            <w:pPr>
              <w:spacing w:after="30"/>
            </w:pPr>
            <w:r>
              <w:rPr>
                <w:b/>
                <w:bCs/>
                <w:color w:val="FFFFFF"/>
                <w:sz w:val="19"/>
                <w:szCs w:val="19"/>
              </w:rPr>
              <w:t xml:space="preserve">Meaning</w:t>
            </w:r>
          </w:p>
        </w:tc>
      </w:tr>
      <w:tr>
        <w:trPr>
          <w:cantSplit/>
          <w:tblHeader w:val="false"/>
        </w:trPr>
        <w:tc>
          <w:tcPr>
            <w:tcW w:type="dxa" w:w="23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Cold-start</w:t>
            </w:r>
          </w:p>
        </w:tc>
        <w:tc>
          <w:tcPr>
            <w:tcW w:type="dxa" w:w="67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A situation where a new user or item has too little interaction history for standard collaborative filtering</w:t>
            </w:r>
          </w:p>
        </w:tc>
      </w:tr>
      <w:tr>
        <w:trPr>
          <w:cantSplit/>
          <w:tblHeader w:val="false"/>
        </w:trPr>
        <w:tc>
          <w:tcPr>
            <w:tcW w:type="dxa" w:w="23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Collaborative filtering</w:t>
            </w:r>
          </w:p>
        </w:tc>
        <w:tc>
          <w:tcPr>
            <w:tcW w:type="dxa" w:w="6726"/>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Recommending items based on patterns of similar users' behaviour</w:t>
            </w:r>
          </w:p>
        </w:tc>
      </w:tr>
      <w:tr>
        <w:trPr>
          <w:cantSplit/>
          <w:tblHeader w:val="false"/>
        </w:trPr>
        <w:tc>
          <w:tcPr>
            <w:tcW w:type="dxa" w:w="23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Content-based filtering</w:t>
            </w:r>
          </w:p>
        </w:tc>
        <w:tc>
          <w:tcPr>
            <w:tcW w:type="dxa" w:w="67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Recommending items similar to those a user liked, using item attributes such as ingredients</w:t>
            </w:r>
          </w:p>
        </w:tc>
      </w:tr>
      <w:tr>
        <w:trPr>
          <w:cantSplit/>
          <w:tblHeader w:val="false"/>
        </w:trPr>
        <w:tc>
          <w:tcPr>
            <w:tcW w:type="dxa" w:w="23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Hybrid recommender</w:t>
            </w:r>
          </w:p>
        </w:tc>
        <w:tc>
          <w:tcPr>
            <w:tcW w:type="dxa" w:w="6726"/>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A system combining several recommendation approaches</w:t>
            </w:r>
          </w:p>
        </w:tc>
      </w:tr>
      <w:tr>
        <w:trPr>
          <w:cantSplit/>
          <w:tblHeader w:val="false"/>
        </w:trPr>
        <w:tc>
          <w:tcPr>
            <w:tcW w:type="dxa" w:w="23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NDCG@K</w:t>
            </w:r>
          </w:p>
        </w:tc>
        <w:tc>
          <w:tcPr>
            <w:tcW w:type="dxa" w:w="67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Normalised Discounted Cumulative Gain: a ranking metric that rewards placing relevant items near the top of the first K results</w:t>
            </w:r>
          </w:p>
        </w:tc>
      </w:tr>
      <w:tr>
        <w:trPr>
          <w:cantSplit/>
          <w:tblHeader w:val="false"/>
        </w:trPr>
        <w:tc>
          <w:tcPr>
            <w:tcW w:type="dxa" w:w="23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Ablation study</w:t>
            </w:r>
          </w:p>
        </w:tc>
        <w:tc>
          <w:tcPr>
            <w:tcW w:type="dxa" w:w="6726"/>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Removing or adding one component at a time to measure its contribution</w:t>
            </w:r>
          </w:p>
        </w:tc>
      </w:tr>
      <w:tr>
        <w:trPr>
          <w:cantSplit/>
          <w:tblHeader w:val="false"/>
        </w:trPr>
        <w:tc>
          <w:tcPr>
            <w:tcW w:type="dxa" w:w="23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Aspect-based sentiment</w:t>
            </w:r>
          </w:p>
        </w:tc>
        <w:tc>
          <w:tcPr>
            <w:tcW w:type="dxa" w:w="67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Sentiment measured for specific topics within a review (e.g., scent, irritation)</w:t>
            </w:r>
          </w:p>
        </w:tc>
      </w:tr>
      <w:tr>
        <w:trPr>
          <w:cantSplit/>
          <w:tblHeader w:val="false"/>
        </w:trPr>
        <w:tc>
          <w:tcPr>
            <w:tcW w:type="dxa" w:w="2300"/>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TF-IDF</w:t>
            </w:r>
          </w:p>
        </w:tc>
        <w:tc>
          <w:tcPr>
            <w:tcW w:type="dxa" w:w="6726"/>
            <w:tcBorders>
              <w:top w:val="single" w:color="C9C9D1" w:sz="4"/>
              <w:left w:val="single" w:color="C9C9D1" w:sz="4"/>
              <w:bottom w:val="single" w:color="C9C9D1" w:sz="4"/>
              <w:right w:val="single" w:color="C9C9D1" w:sz="4"/>
            </w:tcBorders>
            <w:shd w:fill="F7F7F9" w:color="auto" w:val="clear"/>
            <w:tcMar>
              <w:top w:type="dxa" w:w="70"/>
              <w:left w:type="dxa" w:w="110"/>
              <w:bottom w:type="dxa" w:w="70"/>
              <w:right w:type="dxa" w:w="110"/>
            </w:tcMar>
          </w:tcPr>
          <w:p>
            <w:pPr>
              <w:spacing w:after="30"/>
            </w:pPr>
            <w:r>
              <w:rPr>
                <w:sz w:val="19"/>
                <w:szCs w:val="19"/>
              </w:rPr>
              <w:t xml:space="preserve">A weighting scheme that emphasises terms frequent in one document but rare across the corpus</w:t>
            </w:r>
          </w:p>
        </w:tc>
      </w:tr>
      <w:tr>
        <w:trPr>
          <w:cantSplit/>
          <w:tblHeader w:val="false"/>
        </w:trPr>
        <w:tc>
          <w:tcPr>
            <w:tcW w:type="dxa" w:w="2300"/>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Popularity bias</w:t>
            </w:r>
          </w:p>
        </w:tc>
        <w:tc>
          <w:tcPr>
            <w:tcW w:type="dxa" w:w="6726"/>
            <w:tcBorders>
              <w:top w:val="single" w:color="C9C9D1" w:sz="4"/>
              <w:left w:val="single" w:color="C9C9D1" w:sz="4"/>
              <w:bottom w:val="single" w:color="C9C9D1" w:sz="4"/>
              <w:right w:val="single" w:color="C9C9D1" w:sz="4"/>
            </w:tcBorders>
            <w:tcMar>
              <w:top w:type="dxa" w:w="70"/>
              <w:left w:type="dxa" w:w="110"/>
              <w:bottom w:type="dxa" w:w="70"/>
              <w:right w:type="dxa" w:w="110"/>
            </w:tcMar>
          </w:tcPr>
          <w:p>
            <w:pPr>
              <w:spacing w:after="30"/>
            </w:pPr>
            <w:r>
              <w:rPr>
                <w:sz w:val="19"/>
                <w:szCs w:val="19"/>
              </w:rPr>
              <w:t xml:space="preserve">Tendency of recommenders to over-promote already popular items</w:t>
            </w:r>
          </w:p>
        </w:tc>
      </w:tr>
    </w:tbl>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7"/>
        <w:szCs w:val="17"/>
      </w:rPr>
      <w:t xml:space="preserve">Page </w:t>
    </w:r>
    <w:r>
      <w:rPr>
        <w:color w:val="59595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7"/>
        <w:szCs w:val="17"/>
      </w:rPr>
      <w:t xml:space="preserve">Beauty &amp; Wellness | Problem Definition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5546B" w:sz="8" w:space="4"/>
      </w:pBdr>
      <w:spacing w:after="160" w:before="36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1F3A5F"/>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B5546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Data Science Orientation &amp; Problem Definition in Beauty &amp; Wellness</dc:title>
  <dc:creator>Week 1 Task</dc:creator>
  <cp:lastModifiedBy>Un-named</cp:lastModifiedBy>
  <cp:revision>1</cp:revision>
  <dcterms:created xsi:type="dcterms:W3CDTF">2026-09-29T14:38:38.921Z</dcterms:created>
  <dcterms:modified xsi:type="dcterms:W3CDTF">2026-09-29T14:38:38.930Z</dcterms:modified>
</cp:coreProperties>
</file>

<file path=docProps/custom.xml><?xml version="1.0" encoding="utf-8"?>
<Properties xmlns="http://schemas.openxmlformats.org/officeDocument/2006/custom-properties" xmlns:vt="http://schemas.openxmlformats.org/officeDocument/2006/docPropsVTypes"/>
</file>