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rPr>
          <w:b/>
          <w:bCs/>
        </w:rPr>
        <w:t xml:space="preserve">Control-impact architecture of the human structural connectome: degree</w:t>
      </w:r>
      <w:r>
        <w:rPr>
          <w:b/>
          <w:bCs/>
        </w:rPr>
        <w:t xml:space="preserve"> </w:t>
      </w:r>
      <w:r>
        <w:rPr>
          <w:b/>
          <w:bCs/>
        </w:rPr>
        <w:t xml:space="preserve">dominance, a small near-universal residual, and a cross-scale architectural</w:t>
      </w:r>
      <w:r>
        <w:rPr>
          <w:b/>
          <w:bCs/>
        </w:rPr>
        <w:t xml:space="preserve"> </w:t>
      </w:r>
      <w:r>
        <w:rPr>
          <w:b/>
          <w:bCs/>
        </w:rPr>
        <w:t xml:space="preserve">comparison with the fly connectome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Harsha Vardhan Malipeddi (Independent Researcher)</w:t>
      </w:r>
    </w:p>
    <w:p>
      <w:pPr>
        <w:pStyle w:val="BodyText"/>
      </w:pPr>
      <w:r>
        <w:rPr>
          <w:b/>
          <w:bCs/>
        </w:rPr>
        <w:t xml:space="preserve">Author contributions (CRediT, single-author study):</w:t>
      </w:r>
      <w:r>
        <w:t xml:space="preserve"> </w:t>
      </w:r>
      <w:r>
        <w:t xml:space="preserve">Conceptualization;</w:t>
      </w:r>
      <w:r>
        <w:t xml:space="preserve"> </w:t>
      </w:r>
      <w:r>
        <w:t xml:space="preserve">Methodology; Software; Validation; Formal analysis; Investigation; Data</w:t>
      </w:r>
      <w:r>
        <w:t xml:space="preserve"> </w:t>
      </w:r>
      <w:r>
        <w:t xml:space="preserve">curation; Writing — original draft; Writing — review &amp; editing;</w:t>
      </w:r>
      <w:r>
        <w:t xml:space="preserve"> </w:t>
      </w:r>
      <w:r>
        <w:t xml:space="preserve">Visualization; Supervision; Project administration. Funding acquisition:</w:t>
      </w:r>
      <w:r>
        <w:t xml:space="preserve"> </w:t>
      </w:r>
      <w:r>
        <w:t xml:space="preserve">not applicable — no external funding was received or sought.</w:t>
      </w:r>
    </w:p>
    <w:p>
      <w:pPr>
        <w:pStyle w:val="BodyText"/>
      </w:pPr>
      <w:r>
        <w:rPr>
          <w:b/>
          <w:bCs/>
        </w:rPr>
        <w:t xml:space="preserve">Conflict of interest:</w:t>
      </w:r>
      <w:r>
        <w:t xml:space="preserve"> </w:t>
      </w:r>
      <w:r>
        <w:t xml:space="preserve">The author declares no competing interests. The</w:t>
      </w:r>
      <w:r>
        <w:t xml:space="preserve"> </w:t>
      </w:r>
      <w:r>
        <w:t xml:space="preserve">project used an AI coding agent (Codebuff) for computational assistance</w:t>
      </w:r>
      <w:r>
        <w:t xml:space="preserve"> </w:t>
      </w:r>
      <w:r>
        <w:t xml:space="preserve">under author supervision — a methodological disclosure, not a competing</w:t>
      </w:r>
      <w:r>
        <w:t xml:space="preserve"> </w:t>
      </w:r>
      <w:r>
        <w:t xml:space="preserve">interest (repository research logs).</w:t>
      </w:r>
    </w:p>
    <w:p>
      <w:pPr>
        <w:pStyle w:val="BodyText"/>
      </w:pPr>
      <w:r>
        <w:rPr>
          <w:b/>
          <w:bCs/>
        </w:rPr>
        <w:t xml:space="preserve">Ethics:</w:t>
      </w:r>
      <w:r>
        <w:t xml:space="preserve"> </w:t>
      </w:r>
      <w:r>
        <w:t xml:space="preserve">Secondary analysis of publicly distributed, already-published</w:t>
      </w:r>
      <w:r>
        <w:t xml:space="preserve"> </w:t>
      </w:r>
      <w:r>
        <w:t xml:space="preserve">data (AOMIC-ID1000, Zenodo 19796783, CC-BY-4.0; FAFB v783, CC BY-NC 4.0).</w:t>
      </w:r>
      <w:r>
        <w:t xml:space="preserve"> </w:t>
      </w:r>
      <w:r>
        <w:t xml:space="preserve">No new human data were collected; per the author’s determination of</w:t>
      </w:r>
      <w:r>
        <w:t xml:space="preserve"> </w:t>
      </w:r>
      <w:r>
        <w:t xml:space="preserve">2026-09-26, no IRB approval or exemption is required for this secondary use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SUBMISSION_PACKAGE/ethics_statement_if_applicable.md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Correspondence:</w:t>
      </w:r>
      <w:r>
        <w:t xml:space="preserve"> </w:t>
      </w:r>
      <w:r>
        <w:t xml:space="preserve">contact details withheld from the public repository;</w:t>
      </w:r>
      <w:r>
        <w:t xml:space="preserve"> </w:t>
      </w:r>
      <w:r>
        <w:t xml:space="preserve">provided in the journal submission system.</w: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/>
          <w:bCs/>
        </w:rPr>
        <w:t xml:space="preserve">Background.</w:t>
      </w:r>
      <w:r>
        <w:t xml:space="preserve"> </w:t>
      </w:r>
      <w:r>
        <w:t xml:space="preserve">Network communication in brain connectomes is dominated by</w:t>
      </w:r>
      <w:r>
        <w:t xml:space="preserve"> </w:t>
      </w:r>
      <w:r>
        <w:t xml:space="preserve">node degree, but whether any degree-independent component of node-level</w:t>
      </w:r>
      <w:r>
        <w:t xml:space="preserve"> </w:t>
      </w:r>
      <w:r>
        <w:t xml:space="preserve">control impact exists — and whether it is anatomically structured — remains</w:t>
      </w:r>
      <w:r>
        <w:t xml:space="preserve"> </w:t>
      </w:r>
      <w:r>
        <w:t xml:space="preserve">unresolved, because most node-removal analyses are group-average, lack</w:t>
      </w:r>
      <w:r>
        <w:t xml:space="preserve"> </w:t>
      </w:r>
      <w:r>
        <w:t xml:space="preserve">matched controls, and lack null-model arbitration.</w:t>
      </w:r>
      <w:r>
        <w:t xml:space="preserve"> </w:t>
      </w:r>
      <w:r>
        <w:rPr>
          <w:b/>
          <w:bCs/>
        </w:rPr>
        <w:t xml:space="preserve">Gap.</w:t>
      </w:r>
      <w:r>
        <w:t xml:space="preserve"> </w:t>
      </w:r>
      <w:r>
        <w:t xml:space="preserve">No prior study, to our knowledge, has combined exact per-node</w:t>
      </w:r>
      <w:r>
        <w:t xml:space="preserve"> </w:t>
      </w:r>
      <w:r>
        <w:t xml:space="preserve">removal-based control impact with per-subject population-scale statistics,</w:t>
      </w:r>
      <w:r>
        <w:t xml:space="preserve"> </w:t>
      </w:r>
      <w:r>
        <w:t xml:space="preserve">degree/strength matching, degree-preserving null ensembles, and a</w:t>
      </w:r>
      <w:r>
        <w:t xml:space="preserve"> </w:t>
      </w:r>
      <w:r>
        <w:t xml:space="preserve">pre-registered cross-scale comparison.</w:t>
      </w:r>
      <w:r>
        <w:t xml:space="preserve"> </w:t>
      </w:r>
      <w:r>
        <w:rPr>
          <w:b/>
          <w:bCs/>
        </w:rPr>
        <w:t xml:space="preserve">Data and methods.</w:t>
      </w:r>
      <w:r>
        <w:t xml:space="preserve"> </w:t>
      </w:r>
      <w:r>
        <w:t xml:space="preserve">We computed the exact Control Impact Score, CIS(i) =</w:t>
      </w:r>
      <w:r>
        <w:t xml:space="preserve"> </w:t>
      </w:r>
      <w:r>
        <w:t xml:space="preserve">(E(G) − E(G−i))/E(G), for all 456 nodes in each of 801 QC-pass subjects from</w:t>
      </w:r>
      <w:r>
        <w:t xml:space="preserve"> </w:t>
      </w:r>
      <w:r>
        <w:t xml:space="preserve">the AOMIC-ID1000 structural-connectome resource (N = 900 acquired; 456-node</w:t>
      </w:r>
      <w:r>
        <w:t xml:space="preserve"> </w:t>
      </w:r>
      <w:r>
        <w:t xml:space="preserve">4S456 parcellation; SIFT streamline counts; 15% proportional threshold), with</w:t>
      </w:r>
      <w:r>
        <w:t xml:space="preserve"> </w:t>
      </w:r>
      <w:r>
        <w:t xml:space="preserve">degree-matched controls (±10%), 100 degree-preserving (Maslov–Sneppen) nulls</w:t>
      </w:r>
      <w:r>
        <w:t xml:space="preserve"> </w:t>
      </w:r>
      <w:r>
        <w:t xml:space="preserve">per graph in two batteries (100 × 100 full-CIS; 200 × 100 top-50), BH-FDR</w:t>
      </w:r>
      <w:r>
        <w:t xml:space="preserve"> </w:t>
      </w:r>
      <w:r>
        <w:t xml:space="preserve">node-level inference, system-enrichment tests with two control levels, and a</w:t>
      </w:r>
      <w:r>
        <w:t xml:space="preserve"> </w:t>
      </w:r>
      <w:r>
        <w:t xml:space="preserve">9-configuration robustness ladder.</w:t>
      </w:r>
      <w:r>
        <w:t xml:space="preserve"> </w:t>
      </w:r>
      <w:r>
        <w:rPr>
          <w:b/>
          <w:bCs/>
        </w:rPr>
        <w:t xml:space="preserve">Main human result.</w:t>
      </w:r>
      <w:r>
        <w:t xml:space="preserve"> </w:t>
      </w:r>
      <w:r>
        <w:t xml:space="preserve">Top-50 CIS concentration exceeded its degree-preserving</w:t>
      </w:r>
      <w:r>
        <w:t xml:space="preserve"> </w:t>
      </w:r>
      <w:r>
        <w:t xml:space="preserve">null in 200/200 subjects (median z = 16.36; two-sided sign p = 1.24 × 10⁻⁶⁰).</w:t>
      </w:r>
      <w:r>
        <w:t xml:space="preserve"> </w:t>
      </w:r>
      <w:r>
        <w:t xml:space="preserve">CIS was strongly degree-related (median ρ = 0.943). A small degree-independent</w:t>
      </w:r>
      <w:r>
        <w:t xml:space="preserve"> </w:t>
      </w:r>
      <w:r>
        <w:t xml:space="preserve">residual was present in 778/801 subjects (sign p = 2.6 × 10⁻¹⁹⁷; Cliff’s</w:t>
      </w:r>
      <w:r>
        <w:t xml:space="preserve"> </w:t>
      </w:r>
      <w:r>
        <w:t xml:space="preserve">δ = 0.100; median Wilcoxon p = 0.167) and 43/456 nodes survived FDR</w:t>
      </w:r>
      <w:r>
        <w:t xml:space="preserve"> </w:t>
      </w:r>
      <w:r>
        <w:t xml:space="preserve">(q &lt; .05; max Stouffer z = 23.3).</w:t>
      </w:r>
      <w:r>
        <w:t xml:space="preserve"> </w:t>
      </w:r>
      <w:r>
        <w:rPr>
          <w:b/>
          <w:bCs/>
        </w:rPr>
        <w:t xml:space="preserve">Cross-scale result.</w:t>
      </w:r>
      <w:r>
        <w:t xml:space="preserve"> </w:t>
      </w:r>
      <w:r>
        <w:t xml:space="preserve">Compared with the frozen fly (FAFB v783) study —</w:t>
      </w:r>
      <w:r>
        <w:t xml:space="preserve"> </w:t>
      </w:r>
      <w:r>
        <w:t xml:space="preserve">Cliff’s δ = 0.0979, itself not surviving its degree-preserving null ensemble —</w:t>
      </w:r>
      <w:r>
        <w:t xml:space="preserve"> </w:t>
      </w:r>
      <w:r>
        <w:t xml:space="preserve">the human architecture is concordant in effect size and degree dominance.</w:t>
      </w:r>
      <w:r>
        <w:t xml:space="preserve"> </w:t>
      </w:r>
      <w:r>
        <w:rPr>
          <w:b/>
          <w:bCs/>
        </w:rPr>
        <w:t xml:space="preserve">Anatomical divergence.</w:t>
      </w:r>
      <w:r>
        <w:t xml:space="preserve"> </w:t>
      </w:r>
      <w:r>
        <w:t xml:space="preserve">The residual’s anatomical identity differs: visual</w:t>
      </w:r>
      <w:r>
        <w:t xml:space="preserve"> </w:t>
      </w:r>
      <w:r>
        <w:t xml:space="preserve">systems hold 2% of the human top 50 versus 80% visual-centrifugal in the fly;</w:t>
      </w:r>
      <w:r>
        <w:t xml:space="preserve"> </w:t>
      </w:r>
      <w:r>
        <w:t xml:space="preserve">the single nominal human system signal (subcortical/cerebellar, z_B = 2.08,</w:t>
      </w:r>
      <w:r>
        <w:t xml:space="preserve"> </w:t>
      </w:r>
      <w:r>
        <w:t xml:space="preserve">p = .031, 1.25×) is absent at K = 25 and degree-anchored, and the pre-registered</w:t>
      </w:r>
      <w:r>
        <w:t xml:space="preserve"> </w:t>
      </w:r>
      <w:r>
        <w:t xml:space="preserve">system-enrichment gate (R2b) was</w:t>
      </w:r>
      <w:r>
        <w:t xml:space="preserve"> </w:t>
      </w:r>
      <w:r>
        <w:rPr>
          <w:b/>
          <w:bCs/>
        </w:rPr>
        <w:t xml:space="preserve">negative</w:t>
      </w:r>
      <w:r>
        <w:t xml:space="preserve">.</w:t>
      </w:r>
      <w:r>
        <w:t xml:space="preserve"> </w:t>
      </w:r>
      <w:r>
        <w:rPr>
          <w:b/>
          <w:bCs/>
        </w:rPr>
        <w:t xml:space="preserve">Interpretation.</w:t>
      </w:r>
      <w:r>
        <w:t xml:space="preserve"> </w:t>
      </w:r>
      <w:r>
        <w:t xml:space="preserve">Control-impact architecture — a dominant degree component</w:t>
      </w:r>
      <w:r>
        <w:t xml:space="preserve"> </w:t>
      </w:r>
      <w:r>
        <w:t xml:space="preserve">plus a small, near-universal degree-independent residual — shows cross-scale</w:t>
      </w:r>
      <w:r>
        <w:t xml:space="preserve"> </w:t>
      </w:r>
      <w:r>
        <w:t xml:space="preserve">architectural similarity while the residual’s anatomical identity diverges.</w:t>
      </w:r>
      <w:r>
        <w:t xml:space="preserve"> </w:t>
      </w:r>
      <w:r>
        <w:t xml:space="preserve">No new biological mechanism, no homology, and no system-specific claim is made.</w:t>
      </w:r>
    </w:p>
    <w:bookmarkEnd w:id="10"/>
    <w:bookmarkStart w:id="11" w:name="introduction"/>
    <w:p>
      <w:pPr>
        <w:pStyle w:val="Heading2"/>
      </w:pPr>
      <w:r>
        <w:t xml:space="preserve">1. Introduction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Established knowledge.</w:t>
      </w:r>
      <w:r>
        <w:t xml:space="preserve"> </w:t>
      </w:r>
      <w:r>
        <w:t xml:space="preserve">Node-removal/efficiency analysis in human</w:t>
      </w:r>
      <w:r>
        <w:t xml:space="preserve"> </w:t>
      </w:r>
      <w:r>
        <w:t xml:space="preserve">structural connectomes is classic (Alstott et al. 2009; Crossley et al.</w:t>
      </w:r>
      <w:r>
        <w:t xml:space="preserve"> </w:t>
      </w:r>
      <w:r>
        <w:t xml:space="preserve">2014). Degree is the dominant correlate of node importance (ρ ≈ 0.9 here).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Unresolved problem.</w:t>
      </w:r>
      <w:r>
        <w:t xml:space="preserve"> </w:t>
      </w:r>
      <w:r>
        <w:t xml:space="preserve">Whether a degree-independent component of control</w:t>
      </w:r>
      <w:r>
        <w:t xml:space="preserve"> </w:t>
      </w:r>
      <w:r>
        <w:t xml:space="preserve">impact exists at the single-subject level, is reproducible across a</w:t>
      </w:r>
      <w:r>
        <w:t xml:space="preserve"> </w:t>
      </w:r>
      <w:r>
        <w:t xml:space="preserve">population, and is anatomically structured — prior group-average designs</w:t>
      </w:r>
      <w:r>
        <w:t xml:space="preserve"> </w:t>
      </w:r>
      <w:r>
        <w:t xml:space="preserve">cannot answer this.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Degree confounding.</w:t>
      </w:r>
      <w:r>
        <w:t xml:space="preserve"> </w:t>
      </w:r>
      <w:r>
        <w:t xml:space="preserve">Raw comparisons of node importance are</w:t>
      </w:r>
      <w:r>
        <w:t xml:space="preserve"> </w:t>
      </w:r>
      <w:r>
        <w:t xml:space="preserve">degree-confounded; matched controls and degree-preserving nulls are both</w:t>
      </w:r>
      <w:r>
        <w:t xml:space="preserve"> </w:t>
      </w:r>
      <w:r>
        <w:t xml:space="preserve">required (the fly study’s decisive lesson, re-confirmed here).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Literature gap.</w:t>
      </w:r>
      <w:r>
        <w:t xml:space="preserve"> </w:t>
      </w:r>
      <w:r>
        <w:t xml:space="preserve">The four-way combination (per-node CIS + per-subject +</w:t>
      </w:r>
      <w:r>
        <w:t xml:space="preserve"> </w:t>
      </w:r>
      <w:r>
        <w:t xml:space="preserve">population scale + degree-preserving null arbitration) is unoccupied</w:t>
      </w:r>
      <w:r>
        <w:t xml:space="preserve"> </w:t>
      </w:r>
      <w:r>
        <w:t xml:space="preserve">(NOVELTY_MATRIX.md).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 and hypotheses.</w:t>
      </w:r>
      <w:r>
        <w:t xml:space="preserve"> </w:t>
      </w:r>
      <w:r>
        <w:t xml:space="preserve">H1: concentration exceeds degree-preserving</w:t>
      </w:r>
      <w:r>
        <w:t xml:space="preserve"> </w:t>
      </w:r>
      <w:r>
        <w:t xml:space="preserve">null expectations. H2: a degree-independent residual remains after</w:t>
      </w:r>
      <w:r>
        <w:t xml:space="preserve"> </w:t>
      </w:r>
      <w:r>
        <w:t xml:space="preserve">degree/strength adjustment. H3: the residual is robustly system-specific.</w:t>
      </w:r>
      <w:r>
        <w:t xml:space="preserve"> </w:t>
      </w:r>
      <w:r>
        <w:t xml:space="preserve">H4: comparable architecture appears across fly and human scales.</w:t>
      </w:r>
      <w:r>
        <w:t xml:space="preserve"> </w:t>
      </w:r>
      <w:r>
        <w:t xml:space="preserve">Pre-registered in PROTOCOL_FREEZE.md before any computation [refs</w:t>
      </w:r>
      <w:r>
        <w:t xml:space="preserve"> </w:t>
      </w:r>
      <w:r>
        <w:t xml:space="preserve">1, 3, 6, 8; dataset: 7].</w:t>
      </w:r>
    </w:p>
    <w:bookmarkEnd w:id="11"/>
    <w:bookmarkStart w:id="12" w:name="methods"/>
    <w:p>
      <w:pPr>
        <w:pStyle w:val="Heading2"/>
      </w:pPr>
      <w:r>
        <w:t xml:space="preserve">2. Methods</w:t>
      </w:r>
    </w:p>
    <w:p>
      <w:pPr>
        <w:pStyle w:val="FirstParagraph"/>
      </w:pPr>
      <w:r>
        <w:t xml:space="preserve">Condensed; full frozen detail in ANALYSIS_FREEZE.md and supplementary.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Dataset and QC.</w:t>
      </w:r>
      <w:r>
        <w:t xml:space="preserve"> </w:t>
      </w:r>
      <w:r>
        <w:t xml:space="preserve">AOMIC-ID1000 derivatives (Zenodo 19796783, CC-BY-4.0)</w:t>
      </w:r>
      <w:r>
        <w:t xml:space="preserve"> </w:t>
      </w:r>
      <w:r>
        <w:t xml:space="preserve">[7]; 900 subjects × 7 atlases extracted and verified (25,200 matrices; 0</w:t>
      </w:r>
      <w:r>
        <w:t xml:space="preserve"> </w:t>
      </w:r>
      <w:r>
        <w:t xml:space="preserve">NaN/Inf/asymmetry); QC cohort 801/900 (frozen CIS-blind; flags retained,</w:t>
      </w:r>
      <w:r>
        <w:t xml:space="preserve"> </w:t>
      </w:r>
      <w:r>
        <w:t xml:space="preserve">never deleted).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 configuration.</w:t>
      </w:r>
      <w:r>
        <w:t xml:space="preserve"> </w:t>
      </w:r>
      <w:r>
        <w:t xml:space="preserve">4S456Parcels;</w:t>
      </w:r>
      <w:r>
        <w:t xml:space="preserve"> </w:t>
      </w:r>
      <w:r>
        <w:rPr>
          <w:rStyle w:val="VerbatimChar"/>
        </w:rPr>
        <w:t xml:space="preserve">sift_radius2_count_connectivity</w:t>
      </w:r>
      <w:r>
        <w:t xml:space="preserve">;</w:t>
      </w:r>
      <w:r>
        <w:t xml:space="preserve"> </w:t>
      </w:r>
      <w:r>
        <w:t xml:space="preserve">15% proportional threshold (k = 15,561 edges).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CIS.</w:t>
      </w:r>
      <w:r>
        <w:t xml:space="preserve"> </w:t>
      </w:r>
      <w:r>
        <w:t xml:space="preserve">Exact per-node CIS = (E(G) − E(G−i))/E(G); 456 exact leave-one-out</w:t>
      </w:r>
      <w:r>
        <w:t xml:space="preserve"> </w:t>
      </w:r>
      <w:r>
        <w:t xml:space="preserve">recomputations per subject; reference implementation validated to 6.1e-16;</w:t>
      </w:r>
      <w:r>
        <w:t xml:space="preserve"> </w:t>
      </w:r>
      <w:r>
        <w:t xml:space="preserve">fast estimator (null graphs only) to 4e-16 under a mandatory 1e-9 gate.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Matching.</w:t>
      </w:r>
      <w:r>
        <w:t xml:space="preserve"> </w:t>
      </w:r>
      <w:r>
        <w:t xml:space="preserve">±10% total degree, 1:1 greedy, nearest-50 fallback (flagged).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Null batteries.</w:t>
      </w:r>
      <w:r>
        <w:t xml:space="preserve"> </w:t>
      </w:r>
      <w:r>
        <w:t xml:space="preserve">Maslov–Sneppen undirected rewiring [6] preserving the</w:t>
      </w:r>
      <w:r>
        <w:t xml:space="preserve"> </w:t>
      </w:r>
      <w:r>
        <w:t xml:space="preserve">exact per-node degree sequence (verified per null, 10,000/10,000 exact, 0</w:t>
      </w:r>
      <w:r>
        <w:t xml:space="preserve"> </w:t>
      </w:r>
      <w:r>
        <w:t xml:space="preserve">self-loops); seeds 100+i; subject samples nested, seed 20260922.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Statistics.</w:t>
      </w:r>
      <w:r>
        <w:t xml:space="preserve"> </w:t>
      </w:r>
      <w:r>
        <w:t xml:space="preserve">Per-node empirical p (add-one) → Stouffer → BH-FDR (q=.05);</w:t>
      </w:r>
      <w:r>
        <w:t xml:space="preserve"> </w:t>
      </w:r>
      <w:r>
        <w:t xml:space="preserve">battery B z + sign test; enrichment controls A/B (10,000 perms);</w:t>
      </w:r>
      <w:r>
        <w:t xml:space="preserve"> </w:t>
      </w:r>
      <w:r>
        <w:t xml:space="preserve">rank stability (100 half-splits); effect sizes Cliff’s δ.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Cross-scale discipline.</w:t>
      </w:r>
      <w:r>
        <w:t xml:space="preserve"> </w:t>
      </w:r>
      <w:r>
        <w:t xml:space="preserve">Normalized comparators only (DIRECT/</w:t>
      </w:r>
      <w:r>
        <w:t xml:space="preserve"> </w:t>
      </w:r>
      <w:r>
        <w:t xml:space="preserve">NORMALIZED/QUALITATIVE tags); no homology claims (CP03/CP05).</w:t>
      </w:r>
    </w:p>
    <w:bookmarkEnd w:id="12"/>
    <w:bookmarkStart w:id="13" w:name="results"/>
    <w:p>
      <w:pPr>
        <w:pStyle w:val="Heading2"/>
      </w:pPr>
      <w:r>
        <w:t xml:space="preserve">3. Results</w:t>
      </w:r>
    </w:p>
    <w:p>
      <w:pPr>
        <w:pStyle w:val="FirstParagraph"/>
      </w:pPr>
      <w:r>
        <w:rPr>
          <w:i/>
          <w:iCs/>
        </w:rPr>
        <w:t xml:space="preserve">(order per submission checklist)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Data/QC.</w:t>
      </w:r>
      <w:r>
        <w:t xml:space="preserve"> </w:t>
      </w:r>
      <w:r>
        <w:t xml:space="preserve">900 acquired, 801 pass; E0 median 0.5468 [0.5441–0.5497];</w:t>
      </w:r>
      <w:r>
        <w:t xml:space="preserve"> </w:t>
      </w:r>
      <w:r>
        <w:t xml:space="preserve">mean degree 68.2; 15,561 edges.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CIS distribution.</w:t>
      </w:r>
      <w:r>
        <w:t xml:space="preserve"> </w:t>
      </w:r>
      <w:r>
        <w:t xml:space="preserve">Max population-mean CIS 0.00462 (node 414;</w:t>
      </w:r>
      <w:r>
        <w:t xml:space="preserve"> </w:t>
      </w:r>
      <w:r>
        <w:rPr>
          <w:rStyle w:val="VerbatimChar"/>
        </w:rPr>
        <w:t xml:space="preserve">e03_summary.json</w:t>
      </w:r>
      <w:r>
        <w:t xml:space="preserve"> </w:t>
      </w:r>
      <w:r>
        <w:t xml:space="preserve">cis_mean_pop_max = 0.0046246); top-50 rate 1.00 for</w:t>
      </w:r>
      <w:r>
        <w:t xml:space="preserve"> </w:t>
      </w:r>
      <w:r>
        <w:t xml:space="preserve">node 400; small magnitudes at 15% cost as expected for a redundant</w:t>
      </w:r>
      <w:r>
        <w:t xml:space="preserve"> </w:t>
      </w:r>
      <w:r>
        <w:t xml:space="preserve">68-degree-mean graph.</w:t>
      </w:r>
      <w:r>
        <w:t xml:space="preserve"> </w:t>
      </w:r>
      <w:r>
        <w:rPr>
          <w:i/>
          <w:iCs/>
        </w:rPr>
        <w:t xml:space="preserve">[Value corrected 2026-09-26 from</w:t>
      </w:r>
      <w:r>
        <w:rPr>
          <w:i/>
          <w:iCs/>
        </w:rPr>
        <w:t xml:space="preserve"> </w:t>
      </w:r>
      <w:r>
        <w:rPr>
          <w:i/>
          <w:iCs/>
        </w:rPr>
        <w:t xml:space="preserve">“0.00463”</w:t>
      </w:r>
      <w:r>
        <w:rPr>
          <w:i/>
          <w:iCs/>
        </w:rPr>
        <w:t xml:space="preserve"> </w:t>
      </w:r>
      <w:r>
        <w:rPr>
          <w:i/>
          <w:iCs/>
        </w:rPr>
        <w:t xml:space="preserve">— a</w:t>
      </w:r>
      <w:r>
        <w:rPr>
          <w:i/>
          <w:iCs/>
        </w:rPr>
        <w:t xml:space="preserve"> </w:t>
      </w:r>
      <w:r>
        <w:rPr>
          <w:i/>
          <w:iCs/>
        </w:rPr>
        <w:t xml:space="preserve">rounding slip; the frozen artifact gives 0.0046246 → 0.00462 at 3 s.f.]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Degree relationship.</w:t>
      </w:r>
      <w:r>
        <w:t xml:space="preserve"> </w:t>
      </w:r>
      <w:r>
        <w:t xml:space="preserve">Median ρ(CIS, degree) = 0.943; CIS vs strength</w:t>
      </w:r>
      <w:r>
        <w:t xml:space="preserve"> </w:t>
      </w:r>
      <w:r>
        <w:t xml:space="preserve">ρ = 0.486.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Degree-preserving null test (H1).</w:t>
      </w:r>
      <w:r>
        <w:t xml:space="preserve"> </w:t>
      </w:r>
      <w:r>
        <w:t xml:space="preserve">200/200 subjects above null;</w:t>
      </w:r>
      <w:r>
        <w:t xml:space="preserve"> </w:t>
      </w:r>
      <w:r>
        <w:t xml:space="preserve">median z = 16.36; sign p = 1.24e-60; 100% of subjects at the 1/101</w:t>
      </w:r>
      <w:r>
        <w:t xml:space="preserve"> </w:t>
      </w:r>
      <w:r>
        <w:t xml:space="preserve">empirical-p floor (inference via z + sign test).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Residual analysis (H2).</w:t>
      </w:r>
      <w:r>
        <w:t xml:space="preserve"> </w:t>
      </w:r>
      <w:r>
        <w:t xml:space="preserve">778/801 subjects positive (sign p = 2.6e-197);</w:t>
      </w:r>
      <w:r>
        <w:t xml:space="preserve"> </w:t>
      </w:r>
      <w:r>
        <w:t xml:space="preserve">δ = 0.100 [0.078–0.129]; 36,846 matched pairs; 58.8% of comparisons beat</w:t>
      </w:r>
      <w:r>
        <w:t xml:space="preserve"> </w:t>
      </w:r>
      <w:r>
        <w:t xml:space="preserve">controls; Wilcoxon median p = 0.167 (125/801 &lt; .05) — small but</w:t>
      </w:r>
      <w:r>
        <w:t xml:space="preserve"> </w:t>
      </w:r>
      <w:r>
        <w:t xml:space="preserve">directionally near-universal.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FDR node characterization (R2a).</w:t>
      </w:r>
      <w:r>
        <w:t xml:space="preserve"> </w:t>
      </w:r>
      <w:r>
        <w:t xml:space="preserve">43/456 nodes q&lt;.05; max z = 23.30</w:t>
      </w:r>
      <w:r>
        <w:t xml:space="preserve"> </w:t>
      </w:r>
      <w:r>
        <w:t xml:space="preserve">(node 400); cluster spans nodes 400–451.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System/enrichment (H3/R2b).</w:t>
      </w:r>
      <w:r>
        <w:t xml:space="preserve"> </w:t>
      </w:r>
      <w:r>
        <w:t xml:space="preserve">Pre-registered gate NEGATIVE: Vis obs 1</w:t>
      </w:r>
      <w:r>
        <w:t xml:space="preserve"> </w:t>
      </w:r>
      <w:r>
        <w:t xml:space="preserve">(2%), z_B = −0.38; only Subcortical/Cerebellar nominal (obs 26, z_A 9.06,</w:t>
      </w:r>
      <w:r>
        <w:t xml:space="preserve"> </w:t>
      </w:r>
      <w:r>
        <w:t xml:space="preserve">z_B 2.08, p .031, 1.25×), absent at K = 25 (z_B 0.81) — degree-anchored.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Robustness.</w:t>
      </w:r>
      <w:r>
        <w:t xml:space="preserve"> </w:t>
      </w:r>
      <w:r>
        <w:t xml:space="preserve">9 configurations reproduce the primary architecture:</w:t>
      </w:r>
      <w:r>
        <w:t xml:space="preserve"> </w:t>
      </w:r>
      <w:r>
        <w:t xml:space="preserve">max like-for-like top-50-mean deviation 0.00262 (atlas_AAL116;</w:t>
      </w:r>
      <w:r>
        <w:t xml:space="preserve"> </w:t>
      </w:r>
      <w:r>
        <w:t xml:space="preserve">descriptive comparison — no numeric tolerance was pre-registered for</w:t>
      </w:r>
      <w:r>
        <w:t xml:space="preserve"> </w:t>
      </w:r>
      <w:r>
        <w:t xml:space="preserve">E06); rank stability median Spearman 0.996.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Cross-species comparison (H4).</w:t>
      </w:r>
      <w:r>
        <w:t xml:space="preserve"> </w:t>
      </w:r>
      <w:r>
        <w:t xml:space="preserve">δ 0.100 (human) vs 0.0979 (fly);</w:t>
      </w:r>
      <w:r>
        <w:t xml:space="preserve"> </w:t>
      </w:r>
      <w:r>
        <w:t xml:space="preserve">both degree-dominated; human visual share 2% vs fly 80% visual-centrifugal</w:t>
      </w:r>
      <w:r>
        <w:t xml:space="preserve"> </w:t>
      </w:r>
      <w:r>
        <w:t xml:space="preserve">— architecture replicates; anatomy does not.</w:t>
      </w:r>
    </w:p>
    <w:bookmarkEnd w:id="13"/>
    <w:bookmarkStart w:id="14" w:name="discussion"/>
    <w:p>
      <w:pPr>
        <w:pStyle w:val="Heading2"/>
      </w:pPr>
      <w:r>
        <w:t xml:space="preserve">4. Discussion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Principal findings.</w:t>
      </w:r>
      <w:r>
        <w:t xml:space="preserve"> </w:t>
      </w:r>
      <w:r>
        <w:t xml:space="preserve">Degree-dominated control impact with a small,</w:t>
      </w:r>
      <w:r>
        <w:t xml:space="preserve"> </w:t>
      </w:r>
      <w:r>
        <w:t xml:space="preserve">near-universal degree-independent residual; topological concentration</w:t>
      </w:r>
      <w:r>
        <w:t xml:space="preserve"> </w:t>
      </w:r>
      <w:r>
        <w:t xml:space="preserve">exceeds degree-preserving nulls in every tested subject.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Degree-dominated architecture.</w:t>
      </w:r>
      <w:r>
        <w:t xml:space="preserve"> </w:t>
      </w:r>
      <w:r>
        <w:t xml:space="preserve">ρ ≈ 0.94 replicates the known</w:t>
      </w:r>
      <w:r>
        <w:t xml:space="preserve"> </w:t>
      </w:r>
      <w:r>
        <w:t xml:space="preserve">degree–importance coupling at population scale, now with per-subject</w:t>
      </w:r>
      <w:r>
        <w:t xml:space="preserve"> </w:t>
      </w:r>
      <w:r>
        <w:t xml:space="preserve">resolution.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Degree-independent residual.</w:t>
      </w:r>
      <w:r>
        <w:t xml:space="preserve"> </w:t>
      </w:r>
      <w:r>
        <w:t xml:space="preserve">Small (δ = 0.100), directionally</w:t>
      </w:r>
      <w:r>
        <w:t xml:space="preserve"> </w:t>
      </w:r>
      <w:r>
        <w:t xml:space="preserve">near-universal (778/801), and measurable above the CIS noise floor only</w:t>
      </w:r>
      <w:r>
        <w:t xml:space="preserve"> </w:t>
      </w:r>
      <w:r>
        <w:t xml:space="preserve">through matched controls plus null arbitration.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Population-level concentration.</w:t>
      </w:r>
      <w:r>
        <w:t xml:space="preserve"> </w:t>
      </w:r>
      <w:r>
        <w:t xml:space="preserve">The 200/200 result with z ≈ 16 shows</w:t>
      </w:r>
      <w:r>
        <w:t xml:space="preserve"> </w:t>
      </w:r>
      <w:r>
        <w:t xml:space="preserve">concentration is a stable property of individual connectomes, not a</w:t>
      </w:r>
      <w:r>
        <w:t xml:space="preserve"> </w:t>
      </w:r>
      <w:r>
        <w:t xml:space="preserve">group-average artifact.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Cross-scale comparison.</w:t>
      </w:r>
      <w:r>
        <w:t xml:space="preserve"> </w:t>
      </w:r>
      <w:r>
        <w:t xml:space="preserve">Same effect-size statistic, same sign, same</w:t>
      </w:r>
      <w:r>
        <w:t xml:space="preserve"> </w:t>
      </w:r>
      <w:r>
        <w:t xml:space="preserve">degree-anchored interpretation across a roughly 10³-fold node-count</w:t>
      </w:r>
      <w:r>
        <w:t xml:space="preserve"> </w:t>
      </w:r>
      <w:r>
        <w:t xml:space="preserve">difference (139,255 reconstructed neurons vs 456 parcels).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 replicates but anatomy diverges.</w:t>
      </w:r>
      <w:r>
        <w:t xml:space="preserve"> </w:t>
      </w:r>
      <w:r>
        <w:t xml:space="preserve">Fly: visual-centrifugal</w:t>
      </w:r>
      <w:r>
        <w:t xml:space="preserve"> </w:t>
      </w:r>
      <w:r>
        <w:t xml:space="preserve">residual (80% of top 50). Human: not visual (2%); nominal subcortical/</w:t>
      </w:r>
      <w:r>
        <w:t xml:space="preserve"> </w:t>
      </w:r>
      <w:r>
        <w:t xml:space="preserve">cerebellar signal is degree-anchored and K-ladder-fragile.</w:t>
      </w:r>
      <w:r>
        <w:t xml:space="preserve"> </w:t>
      </w:r>
      <w:r>
        <w:rPr>
          <w:b/>
          <w:bCs/>
        </w:rPr>
        <w:t xml:space="preserve">R2b was</w:t>
      </w:r>
      <w:r>
        <w:rPr>
          <w:b/>
          <w:bCs/>
        </w:rPr>
        <w:t xml:space="preserve"> </w:t>
      </w:r>
      <w:r>
        <w:rPr>
          <w:b/>
          <w:bCs/>
        </w:rPr>
        <w:t xml:space="preserve">negative</w:t>
      </w:r>
      <w:r>
        <w:t xml:space="preserve">; the present data do not establish that the mechanism</w:t>
      </w:r>
      <w:r>
        <w:t xml:space="preserve"> </w:t>
      </w:r>
      <w:r>
        <w:t xml:space="preserve">selecting residual chokepoints is conserved (nor that it is not).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Relationship to previous literature.</w:t>
      </w:r>
      <w:r>
        <w:t xml:space="preserve"> </w:t>
      </w:r>
      <w:r>
        <w:t xml:space="preserve">Alstott/Crossley [1, 3]: classic</w:t>
      </w:r>
      <w:r>
        <w:t xml:space="preserve"> </w:t>
      </w:r>
      <w:r>
        <w:t xml:space="preserve">removal analysis, group-average, no matched controls or nulls.</w:t>
      </w:r>
      <w:r>
        <w:t xml:space="preserve"> </w:t>
      </w:r>
      <w:r>
        <w:t xml:space="preserve">Kudriavtsev 2026 [5]: closest neighbour (lesions + nulls) but matched-mass</w:t>
      </w:r>
      <w:r>
        <w:t xml:space="preserve"> </w:t>
      </w:r>
      <w:r>
        <w:t xml:space="preserve">nulls and ageing framing — PARTIAL OVERLAP (10_LITERATURE/). NCT</w:t>
      </w:r>
      <w:r>
        <w:t xml:space="preserve"> </w:t>
      </w:r>
      <w:r>
        <w:t xml:space="preserve">literature [2, 4]: different metric. Yueh-Hsin 2024 [11]: resection</w:t>
      </w:r>
      <w:r>
        <w:t xml:space="preserve"> </w:t>
      </w:r>
      <w:r>
        <w:t xml:space="preserve">simulations, no matching/nulls.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Biological interpretation.</w:t>
      </w:r>
      <w:r>
        <w:t xml:space="preserve"> </w:t>
      </w:r>
      <w:r>
        <w:t xml:space="preserve">None beyond architecture: no new mechanism</w:t>
      </w:r>
      <w:r>
        <w:t xml:space="preserve"> </w:t>
      </w:r>
      <w:r>
        <w:t xml:space="preserve">is claimed; no homology is claimed; the subcortical localization is</w:t>
      </w:r>
      <w:r>
        <w:t xml:space="preserve"> </w:t>
      </w:r>
      <w:r>
        <w:t xml:space="preserve">degree-anchored; the fly–human δ similarity is interesting but partly</w:t>
      </w:r>
      <w:r>
        <w:t xml:space="preserve"> </w:t>
      </w:r>
      <w:r>
        <w:t xml:space="preserve">fortuitous (different units, graphs, designs; fly δ not null-surviving).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Methodological implications.</w:t>
      </w:r>
      <w:r>
        <w:t xml:space="preserve"> </w:t>
      </w:r>
      <w:r>
        <w:t xml:space="preserve">Individual methods are established; the</w:t>
      </w:r>
      <w:r>
        <w:t xml:space="preserve"> </w:t>
      </w:r>
      <w:r>
        <w:t xml:space="preserve">contribution is the bounded combination and its arbitration. Matched-pair</w:t>
      </w:r>
      <w:r>
        <w:t xml:space="preserve"> </w:t>
      </w:r>
      <w:r>
        <w:t xml:space="preserve">significance without null arbitration can mislead — both layers of control</w:t>
      </w:r>
      <w:r>
        <w:t xml:space="preserve"> </w:t>
      </w:r>
      <w:r>
        <w:t xml:space="preserve">are necessary (fly E10B lesson, replicated).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Limitations.</w:t>
      </w:r>
      <w:r>
        <w:t xml:space="preserve"> </w:t>
      </w:r>
      <w:r>
        <w:t xml:space="preserve">Undirected graphs (directed variant impossible in these</w:t>
      </w:r>
      <w:r>
        <w:t xml:space="preserve"> </w:t>
      </w:r>
      <w:r>
        <w:t xml:space="preserve">derivatives); no homology; single pipeline/acquisition; residual near the</w:t>
      </w:r>
      <w:r>
        <w:t xml:space="preserve"> </w:t>
      </w:r>
      <w:r>
        <w:t xml:space="preserve">CIS noise floor (hence null arbitration); battery-B per-subject p-values</w:t>
      </w:r>
      <w:r>
        <w:t xml:space="preserve"> </w:t>
      </w:r>
      <w:r>
        <w:t xml:space="preserve">at the 1/101 null-resolution floor (inference via z + sign test);</w:t>
      </w:r>
      <w:r>
        <w:t xml:space="preserve"> </w:t>
      </w:r>
      <w:r>
        <w:t xml:space="preserve">subcortical residual not robust across the K ladder; Kudriavtsev 2026</w:t>
      </w:r>
      <w:r>
        <w:t xml:space="preserve"> </w:t>
      </w:r>
      <w:r>
        <w:t xml:space="preserve">full text verified via proxy extraction (direct access blocked);</w:t>
      </w:r>
      <w:r>
        <w:t xml:space="preserve"> </w:t>
      </w:r>
      <w:r>
        <w:t xml:space="preserve">ENVIRONMENT_MANIFEST</w:t>
      </w:r>
      <w:r>
        <w:t xml:space="preserve"> </w:t>
      </w:r>
      <w:r>
        <w:t xml:space="preserve">provenance gap disclosed.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Future work.</w:t>
      </w:r>
      <w:r>
        <w:t xml:space="preserve"> </w:t>
      </w:r>
      <w:r>
        <w:t xml:space="preserve">Directed human connectomes; multi-shell/higher-quality</w:t>
      </w:r>
      <w:r>
        <w:t xml:space="preserve"> </w:t>
      </w:r>
      <w:r>
        <w:t xml:space="preserve">tractography; replication in BANC/larval connectomes and independent</w:t>
      </w:r>
      <w:r>
        <w:t xml:space="preserve"> </w:t>
      </w:r>
      <w:r>
        <w:t xml:space="preserve">human cohorts; test of the two-component architectural hypothesis</w:t>
      </w:r>
      <w:r>
        <w:t xml:space="preserve"> </w:t>
      </w:r>
      <w:r>
        <w:t xml:space="preserve">beyond two species.</w:t>
      </w:r>
    </w:p>
    <w:bookmarkEnd w:id="14"/>
    <w:bookmarkStart w:id="15" w:name="contribution-and-novelty"/>
    <w:p>
      <w:pPr>
        <w:pStyle w:val="Heading2"/>
      </w:pPr>
      <w:r>
        <w:t xml:space="preserve">5. Contribution and Novelty</w:t>
      </w:r>
    </w:p>
    <w:p>
      <w:pPr>
        <w:pStyle w:val="FirstParagraph"/>
      </w:pPr>
      <w:r>
        <w:rPr>
          <w:b/>
          <w:bCs/>
        </w:rPr>
        <w:t xml:space="preserve">A. Established methods.</w:t>
      </w:r>
      <w:r>
        <w:t xml:space="preserve"> </w:t>
      </w:r>
      <w:r>
        <w:t xml:space="preserve">Node-removal/efficiency analysis of structural</w:t>
      </w:r>
      <w:r>
        <w:t xml:space="preserve"> </w:t>
      </w:r>
      <w:r>
        <w:t xml:space="preserve">connectomes [1, 3; degree-ordered removal on the fly connectome: this</w:t>
      </w:r>
      <w:r>
        <w:t xml:space="preserve"> </w:t>
      </w:r>
      <w:r>
        <w:t xml:space="preserve">project’s frozen predecessor], hub/rich-club analysis [8], degree-preserving</w:t>
      </w:r>
      <w:r>
        <w:t xml:space="preserve"> </w:t>
      </w:r>
      <w:r>
        <w:t xml:space="preserve">null models [6], network controllability [2, 4], and cross-species connectome</w:t>
      </w:r>
      <w:r>
        <w:t xml:space="preserve"> </w:t>
      </w:r>
      <w:r>
        <w:t xml:space="preserve">comparison [9; larval–adult Drosophila null + attack analyses: 10] are each</w:t>
      </w:r>
      <w:r>
        <w:t xml:space="preserve"> </w:t>
      </w:r>
      <w:r>
        <w:t xml:space="preserve">established.</w:t>
      </w:r>
    </w:p>
    <w:p>
      <w:pPr>
        <w:pStyle w:val="BodyText"/>
      </w:pPr>
      <w:r>
        <w:rPr>
          <w:b/>
          <w:bCs/>
        </w:rPr>
        <w:t xml:space="preserve">B. Methodological integration.</w:t>
      </w:r>
      <w:r>
        <w:t xml:space="preserve"> </w:t>
      </w:r>
      <w:r>
        <w:t xml:space="preserve">To our knowledge, no prior study has</w:t>
      </w:r>
      <w:r>
        <w:t xml:space="preserve"> </w:t>
      </w:r>
      <w:r>
        <w:t xml:space="preserve">combined per-node removal-based network-impact analysis, population-scale</w:t>
      </w:r>
      <w:r>
        <w:t xml:space="preserve"> </w:t>
      </w:r>
      <w:r>
        <w:t xml:space="preserve">individual human structural connectomes, explicit degree-controlled</w:t>
      </w:r>
      <w:r>
        <w:t xml:space="preserve"> </w:t>
      </w:r>
      <w:r>
        <w:t xml:space="preserve">residualization, degree-preserving null-model arbitration, FDR-controlled</w:t>
      </w:r>
      <w:r>
        <w:t xml:space="preserve"> </w:t>
      </w:r>
      <w:r>
        <w:t xml:space="preserve">residual inference, and a pre-specified cross-species comparison with the</w:t>
      </w:r>
      <w:r>
        <w:t xml:space="preserve"> </w:t>
      </w:r>
      <w:r>
        <w:t xml:space="preserve">Drosophila connectome in a single analytical framework. The novelty</w:t>
      </w:r>
      <w:r>
        <w:t xml:space="preserve"> </w:t>
      </w:r>
      <w:r>
        <w:t xml:space="preserve">therefore lies primarily in the integration of these analyses and the</w:t>
      </w:r>
      <w:r>
        <w:t xml:space="preserve"> </w:t>
      </w:r>
      <w:r>
        <w:t xml:space="preserve">resulting cross-scale empirical comparison, rather than in any individual</w:t>
      </w:r>
      <w:r>
        <w:t xml:space="preserve"> </w:t>
      </w:r>
      <w:r>
        <w:t xml:space="preserve">analytical component.</w:t>
      </w:r>
    </w:p>
    <w:p>
      <w:pPr>
        <w:pStyle w:val="BodyText"/>
      </w:pPr>
      <w:r>
        <w:rPr>
          <w:b/>
          <w:bCs/>
        </w:rPr>
        <w:t xml:space="preserve">C. New empirical findings.</w:t>
      </w:r>
      <w:r>
        <w:t xml:space="preserve"> </w:t>
      </w:r>
      <w:r>
        <w:t xml:space="preserve">(i) Top-50 CIS concentration exceeds</w:t>
      </w:r>
      <w:r>
        <w:t xml:space="preserve"> </w:t>
      </w:r>
      <w:r>
        <w:t xml:space="preserve">degree-preserving null expectations in 200/200 tested subjects; (ii) a</w:t>
      </w:r>
      <w:r>
        <w:t xml:space="preserve"> </w:t>
      </w:r>
      <w:r>
        <w:t xml:space="preserve">small degree-independent residual is detectable in 778/801 subjects</w:t>
      </w:r>
      <w:r>
        <w:t xml:space="preserve"> </w:t>
      </w:r>
      <w:r>
        <w:t xml:space="preserve">(δ = 0.100) with 43/456 nodes surviving FDR; (iii) the residual is not</w:t>
      </w:r>
      <w:r>
        <w:t xml:space="preserve"> </w:t>
      </w:r>
      <w:r>
        <w:t xml:space="preserve">robustly system-specific (pre-registered gate negative).</w:t>
      </w:r>
    </w:p>
    <w:p>
      <w:pPr>
        <w:pStyle w:val="BodyText"/>
      </w:pPr>
      <w:r>
        <w:rPr>
          <w:b/>
          <w:bCs/>
        </w:rPr>
        <w:t xml:space="preserve">D. Cross-species interpretation.</w:t>
      </w:r>
      <w:r>
        <w:t xml:space="preserve"> </w:t>
      </w:r>
      <w:r>
        <w:t xml:space="preserve">A qualitatively similar two-component</w:t>
      </w:r>
      <w:r>
        <w:t xml:space="preserve"> </w:t>
      </w:r>
      <w:r>
        <w:t xml:space="preserve">organization — a dominant connectivity-dependent component plus a smaller</w:t>
      </w:r>
      <w:r>
        <w:t xml:space="preserve"> </w:t>
      </w:r>
      <w:r>
        <w:t xml:space="preserve">degree-independent residual — appears in both the human and Drosophila</w:t>
      </w:r>
      <w:r>
        <w:t xml:space="preserve"> </w:t>
      </w:r>
      <w:r>
        <w:t xml:space="preserve">analyses despite roughly three orders of magnitude difference in analyzed</w:t>
      </w:r>
      <w:r>
        <w:t xml:space="preserve"> </w:t>
      </w:r>
      <w:r>
        <w:t xml:space="preserve">node count and non-homologous anatomy. These results motivate the</w:t>
      </w:r>
      <w:r>
        <w:t xml:space="preserve"> </w:t>
      </w:r>
      <w:r>
        <w:t xml:space="preserve">hypothesis that two-component control-impact organization recurs across</w:t>
      </w:r>
      <w:r>
        <w:t xml:space="preserve"> </w:t>
      </w:r>
      <w:r>
        <w:t xml:space="preserve">nervous systems of very different scale; they do not establish anatomical</w:t>
      </w:r>
      <w:r>
        <w:t xml:space="preserve"> </w:t>
      </w:r>
      <w:r>
        <w:t xml:space="preserve">homology, a conserved biological mechanism, or a universal law.</w:t>
      </w:r>
    </w:p>
    <w:p>
      <w:pPr>
        <w:pStyle w:val="BodyText"/>
      </w:pPr>
      <w:r>
        <w:rPr>
          <w:b/>
          <w:bCs/>
        </w:rPr>
        <w:t xml:space="preserve">E. Limitations of the novelty claim.</w:t>
      </w:r>
      <w:r>
        <w:t xml:space="preserve"> </w:t>
      </w:r>
      <w:r>
        <w:t xml:space="preserve">The claim is bounded by the</w:t>
      </w:r>
      <w:r>
        <w:t xml:space="preserve"> </w:t>
      </w:r>
      <w:r>
        <w:t xml:space="preserve">documented literature audit (</w:t>
      </w:r>
      <w:r>
        <w:rPr>
          <w:rStyle w:val="VerbatimChar"/>
        </w:rPr>
        <w:t xml:space="preserve">10_LITERATURE/NOVELTY_MATRIX.md</w:t>
      </w:r>
      <w:r>
        <w:t xml:space="preserve">; E00/E17/</w:t>
      </w:r>
      <w:r>
        <w:t xml:space="preserve"> </w:t>
      </w:r>
      <w:r>
        <w:t xml:space="preserve">E17a plus the 2026-09-26 updates). The closest neighbour (Kudriavtsev et</w:t>
      </w:r>
      <w:r>
        <w:t xml:space="preserve"> </w:t>
      </w:r>
      <w:r>
        <w:t xml:space="preserve">al. 2026) has been full-text verified via proxy extraction as PARTIAL</w:t>
      </w:r>
      <w:r>
        <w:t xml:space="preserve"> </w:t>
      </w:r>
      <w:r>
        <w:t xml:space="preserve">OVERLAP, with none of the four decisive components present (no per-node</w:t>
      </w:r>
      <w:r>
        <w:t xml:space="preserve"> </w:t>
      </w:r>
      <w:r>
        <w:t xml:space="preserve">removal ranking, no degree-matched controls, no degree-preserving nulls,</w:t>
      </w:r>
      <w:r>
        <w:t xml:space="preserve"> </w:t>
      </w:r>
      <w:r>
        <w:t xml:space="preserve">no cross-scale bridge). The audit cannot exclude occupation of the</w:t>
      </w:r>
      <w:r>
        <w:t xml:space="preserve"> </w:t>
      </w:r>
      <w:r>
        <w:t xml:space="preserve">combination in sources not surfaced by the queries used. Full audit:</w:t>
      </w:r>
      <w:r>
        <w:t xml:space="preserve"> </w:t>
      </w:r>
      <w:r>
        <w:rPr>
          <w:rStyle w:val="VerbatimChar"/>
        </w:rPr>
        <w:t xml:space="preserve">10_REPORT/NOVELTY_AUDIT.md</w:t>
      </w:r>
      <w:r>
        <w:t xml:space="preserve">.</w:t>
      </w:r>
    </w:p>
    <w:bookmarkEnd w:id="15"/>
    <w:bookmarkStart w:id="16" w:name="negative-and-null-findings"/>
    <w:p>
      <w:pPr>
        <w:pStyle w:val="Heading2"/>
      </w:pPr>
      <w:r>
        <w:t xml:space="preserve">6. Negative and Null Findings</w:t>
      </w:r>
    </w:p>
    <w:p>
      <w:pPr>
        <w:pStyle w:val="FirstParagraph"/>
      </w:pPr>
      <w:r>
        <w:t xml:space="preserve">The following negative results are first-class outcomes of this study and are</w:t>
      </w:r>
      <w:r>
        <w:t xml:space="preserve"> </w:t>
      </w:r>
      <w:r>
        <w:t xml:space="preserve">preserved as such: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Human system-specific gate (R2b) NEGATIVE.</w:t>
      </w:r>
      <w:r>
        <w:t xml:space="preserve"> </w:t>
      </w:r>
      <w:r>
        <w:t xml:space="preserve">No pre-specified</w:t>
      </w:r>
      <w:r>
        <w:t xml:space="preserve"> </w:t>
      </w:r>
      <w:r>
        <w:t xml:space="preserve">sensory/visual system was enriched in the residual (Vis z_B = −0.38 at</w:t>
      </w:r>
      <w:r>
        <w:t xml:space="preserve"> </w:t>
      </w:r>
      <w:r>
        <w:t xml:space="preserve">K = 50). The single nominal signal (Subcortical/Cerebellar: z_B = 2.08,</w:t>
      </w:r>
      <w:r>
        <w:t xml:space="preserve"> </w:t>
      </w:r>
      <w:r>
        <w:t xml:space="preserve">p = .031, 1.25×) is absent at K = 25 (z_B = 0.81) and degree-anchored.</w:t>
      </w:r>
      <w:r>
        <w:t xml:space="preserve"> </w:t>
      </w:r>
      <w:r>
        <w:t xml:space="preserve">No robust canonical-system-specific explanation of the residual was</w:t>
      </w:r>
      <w:r>
        <w:t xml:space="preserve"> </w:t>
      </w:r>
      <w:r>
        <w:t xml:space="preserve">established (H3 not supported).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Fly GABA/inhibitory-specific hypothesis REJECTED.</w:t>
      </w:r>
      <w:r>
        <w:t xml:space="preserve"> </w:t>
      </w:r>
      <w:r>
        <w:t xml:space="preserve">The raw</w:t>
      </w:r>
      <w:r>
        <w:t xml:space="preserve"> </w:t>
      </w:r>
      <w:r>
        <w:t xml:space="preserve">matched-pair GABA–ACh effect (δ = 0.111, p = 0.0011) did not survive the</w:t>
      </w:r>
      <w:r>
        <w:t xml:space="preserve"> </w:t>
      </w:r>
      <w:r>
        <w:t xml:space="preserve">degree-preserving null ensemble (observed δ = 0.098 at matched panel</w:t>
      </w:r>
      <w:r>
        <w:t xml:space="preserve"> </w:t>
      </w:r>
      <w:r>
        <w:t xml:space="preserve">size vs null 0.071 ± 0.022; empirical p = 0.109; median-difference</w:t>
      </w:r>
      <w:r>
        <w:t xml:space="preserve"> </w:t>
      </w:r>
      <w:r>
        <w:t xml:space="preserve">p = 0.782; z = 1.21). This methodological lesson — matched-pair</w:t>
      </w:r>
      <w:r>
        <w:t xml:space="preserve"> </w:t>
      </w:r>
      <w:r>
        <w:t xml:space="preserve">significance can dissolve under degree-preserving nulls — motivated the</w:t>
      </w:r>
      <w:r>
        <w:t xml:space="preserve"> </w:t>
      </w:r>
      <w:r>
        <w:t xml:space="preserve">two-layer control design used here.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Fly residual effect size not null-surviving.</w:t>
      </w:r>
      <w:r>
        <w:t xml:space="preserve"> </w:t>
      </w:r>
      <w:r>
        <w:t xml:space="preserve">The fly residual</w:t>
      </w:r>
      <w:r>
        <w:t xml:space="preserve"> </w:t>
      </w:r>
      <w:r>
        <w:t xml:space="preserve">δ = 0.0979 itself did not pass the same null criterion (p = 0.109); the</w:t>
      </w:r>
      <w:r>
        <w:t xml:space="preserve"> </w:t>
      </w:r>
      <w:r>
        <w:t xml:space="preserve">cross-scale δ agreement is therefore reported as interesting but partly</w:t>
      </w:r>
      <w:r>
        <w:t xml:space="preserve"> </w:t>
      </w:r>
      <w:r>
        <w:t xml:space="preserve">fortuitous (different units of analysis, graphs, and designs).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Per-subject empirical p-values (battery B) do not resolve the tail.</w:t>
      </w:r>
      <w:r>
        <w:t xml:space="preserve"> </w:t>
      </w:r>
      <w:r>
        <w:t xml:space="preserve">All sit at the 1/101 resolution floor; per-subject inference rests on the</w:t>
      </w:r>
      <w:r>
        <w:t xml:space="preserve"> </w:t>
      </w:r>
      <w:r>
        <w:t xml:space="preserve">z-vs-null statistic and the population sign test.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Subcortical residual is not robust across the pre-registered K ladder</w:t>
      </w:r>
      <w:r>
        <w:t xml:space="preserve"> </w:t>
      </w:r>
      <w:r>
        <w:t xml:space="preserve">and its FDR cluster overlaps the same node block as the nominal</w:t>
      </w:r>
      <w:r>
        <w:t xml:space="preserve"> </w:t>
      </w:r>
      <w:r>
        <w:t xml:space="preserve">enrichment — R2a and R2b are not independent confirmations.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causal, homology, mechanism, or universal-law claim is made</w:t>
      </w:r>
      <w:r>
        <w:t xml:space="preserve"> </w:t>
      </w:r>
      <w:r>
        <w:t xml:space="preserve">at any</w:t>
      </w:r>
      <w:r>
        <w:t xml:space="preserve"> </w:t>
      </w:r>
      <w:r>
        <w:t xml:space="preserve">point in this manuscript; the cross-scale similarity is an empirical</w:t>
      </w:r>
      <w:r>
        <w:t xml:space="preserve"> </w:t>
      </w:r>
      <w:r>
        <w:t xml:space="preserve">architectural observation and a hypothesis-generating finding.</w:t>
      </w:r>
    </w:p>
    <w:bookmarkEnd w:id="16"/>
    <w:bookmarkStart w:id="17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Across 801 individual human structural connectomes and the Drosophila</w:t>
      </w:r>
      <w:r>
        <w:t xml:space="preserve"> </w:t>
      </w:r>
      <w:r>
        <w:t xml:space="preserve">connectome, structural network impact decomposes into a dominant</w:t>
      </w:r>
      <w:r>
        <w:t xml:space="preserve"> </w:t>
      </w:r>
      <w:r>
        <w:t xml:space="preserve">connectivity-dependent component and a smaller degree-independent residual.</w:t>
      </w:r>
      <w:r>
        <w:t xml:space="preserve"> </w:t>
      </w:r>
      <w:r>
        <w:t xml:space="preserve">Top-50 impact concentration exceeds degree-preserving null expectations in</w:t>
      </w:r>
      <w:r>
        <w:t xml:space="preserve"> </w:t>
      </w:r>
      <w:r>
        <w:t xml:space="preserve">every tested human subject; the residual is directionally near-universal</w:t>
      </w:r>
      <w:r>
        <w:t xml:space="preserve"> </w:t>
      </w:r>
      <w:r>
        <w:t xml:space="preserve">(778/801; δ = 0.100) with 43/456 nodes surviving FDR; and the residual is</w:t>
      </w:r>
      <w:r>
        <w:t xml:space="preserve"> </w:t>
      </w:r>
      <w:r>
        <w:t xml:space="preserve">not robustly system-specific. The qualitatively similar two-component</w:t>
      </w:r>
      <w:r>
        <w:t xml:space="preserve"> </w:t>
      </w:r>
      <w:r>
        <w:t xml:space="preserve">organization at both scales — despite roughly three orders of magnitude</w:t>
      </w:r>
      <w:r>
        <w:t xml:space="preserve"> </w:t>
      </w:r>
      <w:r>
        <w:t xml:space="preserve">difference in analyzed node count and non-homologous anatomy — supports a</w:t>
      </w:r>
      <w:r>
        <w:t xml:space="preserve"> </w:t>
      </w:r>
      <w:r>
        <w:t xml:space="preserve">bounded cross-scale architectural observation: architecture replicates;</w:t>
      </w:r>
      <w:r>
        <w:t xml:space="preserve"> </w:t>
      </w:r>
      <w:r>
        <w:t xml:space="preserve">anatomy does not. The finding motivates the hypothesis that two-component</w:t>
      </w:r>
      <w:r>
        <w:t xml:space="preserve"> </w:t>
      </w:r>
      <w:r>
        <w:t xml:space="preserve">control-impact organization may recur across nervous-system scales, and</w:t>
      </w:r>
      <w:r>
        <w:t xml:space="preserve"> </w:t>
      </w:r>
      <w:r>
        <w:t xml:space="preserve">defines the null-arbitration methodology needed to test that hypothesis on</w:t>
      </w:r>
      <w:r>
        <w:t xml:space="preserve"> </w:t>
      </w:r>
      <w:r>
        <w:t xml:space="preserve">future connectomes.</w:t>
      </w:r>
    </w:p>
    <w:bookmarkEnd w:id="17"/>
    <w:bookmarkStart w:id="18" w:name="data-and-code-availability"/>
    <w:p>
      <w:pPr>
        <w:pStyle w:val="Heading2"/>
      </w:pPr>
      <w:r>
        <w:t xml:space="preserve">8. Data and code availability</w:t>
      </w:r>
    </w:p>
    <w:p>
      <w:pPr>
        <w:pStyle w:val="FirstParagraph"/>
      </w:pPr>
      <w:r>
        <w:t xml:space="preserve">Data: AOMIC-ID1000 (Zenodo 19796783, CC-BY-4.0). Fly reference: frozen</w:t>
      </w:r>
      <w:r>
        <w:t xml:space="preserve"> </w:t>
      </w:r>
      <w:r>
        <w:t xml:space="preserve">release v1.0.0 artifacts (read-only). All human-side code, manifests,</w:t>
      </w:r>
      <w:r>
        <w:t xml:space="preserve"> </w:t>
      </w:r>
      <w:r>
        <w:t xml:space="preserve">validation reports, and append-only logs in</w:t>
      </w:r>
      <w:r>
        <w:t xml:space="preserve"> </w:t>
      </w:r>
      <w:r>
        <w:rPr>
          <w:rStyle w:val="VerbatimChar"/>
        </w:rPr>
        <w:t xml:space="preserve">github.com/harsha-vardhan-2006/humanbrain_cross_species_cis</w:t>
      </w:r>
      <w:r>
        <w:t xml:space="preserve">; every number</w:t>
      </w:r>
      <w:r>
        <w:t xml:space="preserve"> </w:t>
      </w:r>
      <w:r>
        <w:t xml:space="preserve">traces to an artifact (</w:t>
      </w:r>
      <w:r>
        <w:rPr>
          <w:rStyle w:val="VerbatimChar"/>
        </w:rPr>
        <w:t xml:space="preserve">FINAL_REPRODUCIBILITY_AUDIT.md</w:t>
      </w:r>
      <w:r>
        <w:t xml:space="preserve">).</w:t>
      </w:r>
    </w:p>
    <w:bookmarkEnd w:id="18"/>
    <w:bookmarkStart w:id="1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Inline citations use [n] keyed to this list; literature provenance and</w:t>
      </w:r>
      <w:r>
        <w:t xml:space="preserve"> </w:t>
      </w:r>
      <w:r>
        <w:t xml:space="preserve">verdicts per study are frozen in</w:t>
      </w:r>
      <w:r>
        <w:t xml:space="preserve"> </w:t>
      </w:r>
      <w:r>
        <w:rPr>
          <w:rStyle w:val="VerbatimChar"/>
        </w:rPr>
        <w:t xml:space="preserve">10_LITERATURE/NOVELTY_MATRIX.md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10_LITERATURE/KUDRIAVTSEV_2026_FULLTEXT_REVIEW.md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Alstott, J., Breakspear, M., Hagmann, P., Cammoun, L., &amp; Sporns, O. (2009). Modeling the impact of lesions in the human brain.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, 5(6), e1000408. doi:10.1371/journal.pcbi.1000408</w:t>
      </w:r>
    </w:p>
    <w:p>
      <w:pPr>
        <w:pStyle w:val="Compact"/>
        <w:numPr>
          <w:ilvl w:val="0"/>
          <w:numId w:val="1006"/>
        </w:numPr>
      </w:pPr>
      <w:r>
        <w:t xml:space="preserve">Betzel, R. F., Gu, S., Medaglia, J. D., Pasqualetti, F., &amp; Bassett, D. S. (2016). Optimally controlling the human connectome: the role of network topology.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 6, 30770. doi:10.1038/srep30770</w:t>
      </w:r>
    </w:p>
    <w:p>
      <w:pPr>
        <w:pStyle w:val="Compact"/>
        <w:numPr>
          <w:ilvl w:val="0"/>
          <w:numId w:val="1006"/>
        </w:numPr>
      </w:pPr>
      <w:r>
        <w:t xml:space="preserve">Crossley, N. A., Mechelli, A., Scott, J., Carletti, F., Fox, P. T., McGuire, P., &amp; Bullmore, E. T. (2014). The hubs of the human connectome are generally implicated in the anatomy of brain disorders.</w:t>
      </w:r>
      <w:r>
        <w:t xml:space="preserve"> </w:t>
      </w:r>
      <w:r>
        <w:rPr>
          <w:i/>
          <w:iCs/>
        </w:rPr>
        <w:t xml:space="preserve">Brain</w:t>
      </w:r>
      <w:r>
        <w:t xml:space="preserve">, 137(Pt 8), 2382–2395. doi:10.1093/brain/awu132</w:t>
      </w:r>
    </w:p>
    <w:p>
      <w:pPr>
        <w:pStyle w:val="Compact"/>
        <w:numPr>
          <w:ilvl w:val="0"/>
          <w:numId w:val="1006"/>
        </w:numPr>
      </w:pPr>
      <w:r>
        <w:t xml:space="preserve">Gu, S., Pasqualetti, F., Cieslak, M., Telesford, Q. K., Yu, A. B., Kahn, A. E., Medaglia, J. D., Vettel, J. M., Miller, M. B., Grafton, S. T., &amp; Bassett, D. S. (2015). Controllability of structural brain networks.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, 6, 8414. doi:10.1038/ncomms9414</w:t>
      </w:r>
    </w:p>
    <w:p>
      <w:pPr>
        <w:pStyle w:val="Compact"/>
        <w:numPr>
          <w:ilvl w:val="0"/>
          <w:numId w:val="1006"/>
        </w:numPr>
      </w:pPr>
      <w:r>
        <w:t xml:space="preserve">Kudriavtsev, N., Rosso, M., Fernández, G., et al. (2026). Efficient ageing: Simulated lesion of the structural connectome reveals optimised decline in the healthy ageing brain.</w:t>
      </w:r>
      <w:r>
        <w:t xml:space="preserve"> </w:t>
      </w:r>
      <w:r>
        <w:rPr>
          <w:i/>
          <w:iCs/>
        </w:rPr>
        <w:t xml:space="preserve">bioRxiv</w:t>
      </w:r>
      <w:r>
        <w:t xml:space="preserve">, 2026.05.29.728718. doi:10.64898/2026.05.29.728718 (full text verified via proxy extraction 2026-09-26)</w:t>
      </w:r>
    </w:p>
    <w:p>
      <w:pPr>
        <w:pStyle w:val="Compact"/>
        <w:numPr>
          <w:ilvl w:val="0"/>
          <w:numId w:val="1006"/>
        </w:numPr>
      </w:pPr>
      <w:r>
        <w:t xml:space="preserve">Maslov, S., &amp; Sneppen, K. (2002). Specificity and stability in topology of protein networks.</w:t>
      </w:r>
      <w:r>
        <w:t xml:space="preserve"> </w:t>
      </w:r>
      <w:r>
        <w:rPr>
          <w:i/>
          <w:iCs/>
        </w:rPr>
        <w:t xml:space="preserve">Science</w:t>
      </w:r>
      <w:r>
        <w:t xml:space="preserve">, 296(5569), 910–913. doi:10.1126/science.1065103</w:t>
      </w:r>
    </w:p>
    <w:p>
      <w:pPr>
        <w:pStyle w:val="Compact"/>
        <w:numPr>
          <w:ilvl w:val="0"/>
          <w:numId w:val="1006"/>
        </w:numPr>
      </w:pPr>
      <w:r>
        <w:t xml:space="preserve">Snoek, L., van der Miesen, M. M., Beemsterboer, T., van der Leij, A., Eigenhuis, A., &amp; Scholte, H. S. (2021). The Amsterdam Open MRI Collection, a set of multimodal MRI datasets for individual difference analyses.</w:t>
      </w:r>
      <w:r>
        <w:t xml:space="preserve"> </w:t>
      </w:r>
      <w:r>
        <w:rPr>
          <w:i/>
          <w:iCs/>
        </w:rPr>
        <w:t xml:space="preserve">Scientific Data</w:t>
      </w:r>
      <w:r>
        <w:t xml:space="preserve">, 8, 85. doi:10.1038/s41597-021-00870-6</w:t>
      </w:r>
    </w:p>
    <w:p>
      <w:pPr>
        <w:pStyle w:val="Compact"/>
        <w:numPr>
          <w:ilvl w:val="0"/>
          <w:numId w:val="1006"/>
        </w:numPr>
      </w:pPr>
      <w:r>
        <w:t xml:space="preserve">van den Heuvel, M. P., &amp; Sporns, O. (2011). Rich-club organization of the human connectome.</w:t>
      </w:r>
      <w:r>
        <w:t xml:space="preserve"> </w:t>
      </w:r>
      <w:r>
        <w:rPr>
          <w:i/>
          <w:iCs/>
        </w:rPr>
        <w:t xml:space="preserve">Journal of Neuroscience</w:t>
      </w:r>
      <w:r>
        <w:t xml:space="preserve">, 31(44), 15775–15786. doi:10.1523/JNEUROSCI.3539-11.2011</w:t>
      </w:r>
    </w:p>
    <w:p>
      <w:pPr>
        <w:pStyle w:val="Compact"/>
        <w:numPr>
          <w:ilvl w:val="0"/>
          <w:numId w:val="1006"/>
        </w:numPr>
      </w:pPr>
      <w:r>
        <w:t xml:space="preserve">Venkadesh et al. (2025). Directed connectomes across species reveal conserved and divergent pathways of neural signaling.</w:t>
      </w:r>
      <w:r>
        <w:t xml:space="preserve"> </w:t>
      </w:r>
      <w:r>
        <w:rPr>
          <w:i/>
          <w:iCs/>
        </w:rPr>
        <w:t xml:space="preserve">bioRxiv</w:t>
      </w:r>
      <w:r>
        <w:t xml:space="preserve">, 2025.09.07.674762. doi:10.1101/2025.09.07.674762</w:t>
      </w:r>
    </w:p>
    <w:p>
      <w:pPr>
        <w:pStyle w:val="Compact"/>
        <w:numPr>
          <w:ilvl w:val="0"/>
          <w:numId w:val="1006"/>
        </w:numPr>
      </w:pPr>
      <w:r>
        <w:t xml:space="preserve">Yadav, P., Shinde, P., &amp; Singh, A. (2025). Brain rewiring during development: A comparative analysis of larval and adult Drosophila melanogaster connectomes.</w:t>
      </w:r>
      <w:r>
        <w:t xml:space="preserve"> </w:t>
      </w:r>
      <w:r>
        <w:rPr>
          <w:i/>
          <w:iCs/>
        </w:rPr>
        <w:t xml:space="preserve">Network Neuroscience</w:t>
      </w:r>
      <w:r>
        <w:t xml:space="preserve">, 9(4), 1299–1322. doi:10.1162/netn.a.26</w:t>
      </w:r>
    </w:p>
    <w:p>
      <w:pPr>
        <w:pStyle w:val="Compact"/>
        <w:numPr>
          <w:ilvl w:val="0"/>
          <w:numId w:val="1006"/>
        </w:numPr>
      </w:pPr>
      <w:r>
        <w:t xml:space="preserve">Yueh-Hsin, L., Dadario, N. B., Tang, S. J., Crawford, L., Tanglay, O., et al. (2024). Discernible interindividual patterns of global efficiency decline during theoretical brain surgery.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, 14, 14573. doi:10.1038/s41598-024-64845-4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2026-09-26T11:56:49Z</dcterms:created>
  <dcterms:modified xsi:type="dcterms:W3CDTF">2026-09-26T11:56:49Z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Manuscript</vt:lpwstr>
  </property>
</Properties>
</file>