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PES UNIVERSITY</w:t>
      </w:r>
    </w:p>
    <w:p>
      <w:pPr>
        <w:spacing w:after="600"/>
        <w:jc w:val="center"/>
      </w:pPr>
      <w:r>
        <w:rPr>
          <w:color w:val="1F3864"/>
          <w:sz w:val="24"/>
          <w:szCs w:val="24"/>
        </w:rPr>
        <w:t xml:space="preserve">Department of Computer Science and Engineering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Software Engineering — Lab 1</w:t>
      </w:r>
    </w:p>
    <w:p>
      <w:pPr>
        <w:spacing w:after="800"/>
        <w:jc w:val="center"/>
      </w:pPr>
      <w:r>
        <w:rPr>
          <w:i/>
          <w:iCs/>
          <w:sz w:val="26"/>
          <w:szCs w:val="26"/>
        </w:rPr>
        <w:t xml:space="preserve">Problem Statement #35: Customizable Subscription Box Scheduler</w:t>
      </w:r>
    </w:p>
    <w:p>
      <w:pPr>
        <w:spacing w:after="80" w:before="1600"/>
        <w:jc w:val="center"/>
      </w:pPr>
      <w:r>
        <w:rPr>
          <w:sz w:val="22"/>
          <w:szCs w:val="22"/>
        </w:rPr>
        <w:t xml:space="preserve">Submitted by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G.V.N.SREEHARSHA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SRN: PES1UG24CS163</w:t>
      </w:r>
    </w:p>
    <w:p>
      <w:pPr>
        <w:spacing w:after="800"/>
        <w:jc w:val="center"/>
      </w:pPr>
      <w:r>
        <w:rPr>
          <w:sz w:val="22"/>
          <w:szCs w:val="22"/>
        </w:rPr>
        <w:t xml:space="preserve">Section: C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This document contains: the Requirements Table, the UML Use-Case Diagram, and the Use-Case Flow Specification.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1. Requirements Table</w:t>
      </w:r>
    </w:p>
    <w:p>
      <w:pPr>
        <w:spacing w:after="120"/>
      </w:pPr>
      <w:r>
        <w:rPr>
          <w:i/>
          <w:iCs/>
          <w:color w:val="595959"/>
        </w:rPr>
        <w:t xml:space="preserve">Problem Statement #35 — Customizable Subscription Box Scheduler</w:t>
      </w:r>
    </w:p>
    <w:p>
      <w:pPr>
        <w:spacing w:after="20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400"/>
        <w:gridCol w:w="3000"/>
        <w:gridCol w:w="750"/>
        <w:gridCol w:w="3400"/>
        <w:gridCol w:w="2500"/>
        <w:gridCol w:w="2500"/>
      </w:tblGrid>
      <w:tr>
        <w:trPr>
          <w:cantSplit/>
          <w:tblHeader/>
        </w:trPr>
        <w:tc>
          <w:tcPr>
            <w:tcW w:type="dxa" w:w="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 (Peer Critique)</w:t>
            </w:r>
          </w:p>
        </w:tc>
      </w:tr>
      <w:tr>
        <w:trPr>
          <w:cantSplit/>
        </w:trPr>
        <w:tc>
          <w:tcPr>
            <w:tcW w:type="dxa" w:w="8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FR-001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allow subscribers to swap monthly box items or pause deliveries at least 48 hours before the billing renewal date.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 (swap): The subscriber swaps an item at least 48 hours before renewal, the selection updates immediately, and the fulfillment manifest reflects the new item. Pass (pause): The subscriber pauses a delivery at least 48 hours before renewal, the cycle is marked “Paused,” and no charge or box is generated for that cycle. Fail: Either action is accepted within 48 hours of renewal, or a paused cycle still generates a charge or box.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value proposition of the product — subscriber control over box contents directly reduces churn from mismatched deliveries. (Given in problem statement.)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 noted the original criterion only verified the swap path — revised to test swap and pause separately.</w:t>
            </w:r>
          </w:p>
        </w:tc>
      </w:tr>
      <w:tr>
        <w:trPr>
          <w:cantSplit/>
        </w:trPr>
        <w:tc>
          <w:tcPr>
            <w:tcW w:type="dxa" w:w="8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FR-002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allow a subscriber to select one or more preference tags (e.g., “coffee”, “fiction”, “vegan”) that filter the products offered for that month's box.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When a subscriber selects a preference tag, the displayed product list updates to show only matching items within 2 seconds. Fail: Unrelated products remain visible, or the list does not refresh within 2 seconds.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Preference-tag filtering is the primary personalization mechanism described in the problem statement and is what differentiates the box from a generic subscription.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 asked for a numeric response-time bound instead of “quickly” — added the 2-second criterion.</w:t>
            </w:r>
          </w:p>
        </w:tc>
      </w:tr>
      <w:tr>
        <w:trPr>
          <w:cantSplit/>
        </w:trPr>
        <w:tc>
          <w:tcPr>
            <w:tcW w:type="dxa" w:w="8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FR-003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allow a subscriber to skip a single upcoming billing cycle without cancelling the underlying subscription.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After the subscriber confirms “Skip This Month,” no charge is generated for that cycle and the subscription status reads “Skipped – resumes &lt;next month&gt;.” Fail: A charge is still generated, or the subscription is cancelled instead of skipped.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scenario explicitly calls out pausing/skipping billing cycles as required flexibility for subscribers.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 confirmed this is directly relevant and unambiguous.</w:t>
            </w:r>
          </w:p>
        </w:tc>
      </w:tr>
      <w:tr>
        <w:trPr>
          <w:cantSplit/>
        </w:trPr>
        <w:tc>
          <w:tcPr>
            <w:tcW w:type="dxa" w:w="8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FR-004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generate a fulfillment manifest listing all confirmed box selections for the current billing cycle and make it available to the Fulfillment Lead by 06:00 the day after the customization window closes.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The manifest contains exactly one row per subscriber with a confirmed box selection for the current billing cycle, with product SKUs and a generation timestamp before 06:00. Fail: The manifest is missing subscribers, contains duplicate rows, or is generated late.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Fulfillment Lead needs accurate, timely data to pick, pack, and ship boxes on schedule.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 asked “available when, to whom?” — added the explicit 06:00 deadline and named recipient.</w:t>
            </w:r>
          </w:p>
        </w:tc>
      </w:tr>
      <w:tr>
        <w:trPr>
          <w:cantSplit/>
        </w:trPr>
        <w:tc>
          <w:tcPr>
            <w:tcW w:type="dxa" w:w="8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FR-005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allow a subscriber to view the delivery status of their current box (e.g., Processing, Shipped, Delivered) in near real time.</w:t>
            </w:r>
          </w:p>
        </w:tc>
        <w:tc>
          <w:tcPr>
            <w:tcW w:type="dxa" w:w="75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The status shown to the subscriber matches the most recent carrier/fulfillment update within 15 minutes. Fail: The displayed status is stale by more than 15 minutes or is not shown at all.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 visibility reduces support inquiries and builds subscriber trust in the service.</w:t>
            </w:r>
          </w:p>
        </w:tc>
        <w:tc>
          <w:tcPr>
            <w:tcW w:type="dxa" w:w="2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 flagged “real time” as untestable — revised to a measurable 15-minute sync window.</w:t>
            </w:r>
          </w:p>
        </w:tc>
      </w:tr>
      <w:tr>
        <w:trPr>
          <w:cantSplit/>
        </w:trPr>
        <w:tc>
          <w:tcPr>
            <w:tcW w:type="dxa" w:w="850"/>
            <w:shd w:fill="FDE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NFR-001</w:t>
            </w:r>
          </w:p>
        </w:tc>
        <w:tc>
          <w:tcPr>
            <w:tcW w:type="dxa" w:w="1400"/>
            <w:shd w:fill="FDE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Nonfunctional – Performance &amp; Security</w:t>
            </w:r>
          </w:p>
        </w:tc>
        <w:tc>
          <w:tcPr>
            <w:tcW w:type="dxa" w:w="3000"/>
            <w:shd w:fill="FDE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fulfillment manifest generator must export shipping labels for 10,000 monthly boxes in under 1 minute.</w:t>
            </w:r>
          </w:p>
        </w:tc>
        <w:tc>
          <w:tcPr>
            <w:tcW w:type="dxa" w:w="750"/>
            <w:shd w:fill="FDE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shd w:fill="FDE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A benchmark run exporting shipping labels for 10,000 monthly boxes completes in under 1 minute (wall-clock, measured from export start to last label written). Fail: The 10,000-box export takes 1 minute or longer.</w:t>
            </w:r>
          </w:p>
        </w:tc>
        <w:tc>
          <w:tcPr>
            <w:tcW w:type="dxa" w:w="2500"/>
            <w:shd w:fill="FDE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Peak-season fulfillment runs must scale without delaying shipment of thousands of boxes at month-end. (Given in problem statement.)</w:t>
            </w:r>
          </w:p>
        </w:tc>
        <w:tc>
          <w:tcPr>
            <w:tcW w:type="dxa" w:w="2500"/>
            <w:shd w:fill="FDE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 noted the criterion described the test but not the pass/fail threshold directly — revised to state the &lt; 1 minute bound explicitly, and moved the NFR type out of the description into the Type column.</w:t>
            </w:r>
          </w:p>
        </w:tc>
      </w:tr>
      <w:tr>
        <w:trPr>
          <w:cantSplit/>
        </w:trPr>
        <w:tc>
          <w:tcPr>
            <w:tcW w:type="dxa" w:w="850"/>
            <w:shd w:fill="FDE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NFR-002</w:t>
            </w:r>
          </w:p>
        </w:tc>
        <w:tc>
          <w:tcPr>
            <w:tcW w:type="dxa" w:w="1400"/>
            <w:shd w:fill="FDE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Nonfunctional – Security &amp; Privacy</w:t>
            </w:r>
          </w:p>
        </w:tc>
        <w:tc>
          <w:tcPr>
            <w:tcW w:type="dxa" w:w="3000"/>
            <w:shd w:fill="FDE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shall encrypt all stored subscriber payment and personal data using AES-256 at rest and TLS 1.2+ in transit.</w:t>
            </w:r>
          </w:p>
        </w:tc>
        <w:tc>
          <w:tcPr>
            <w:tcW w:type="dxa" w:w="750"/>
            <w:shd w:fill="FDE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400"/>
            <w:shd w:fill="FDE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Pass: A security audit confirms every payment/PII field is encrypted at rest and all API traffic is served over TLS 1.2+. Fail: Any payment or PII field is found stored in plaintext, or any endpoint accepts unencrypted traffic.</w:t>
            </w:r>
          </w:p>
        </w:tc>
        <w:tc>
          <w:tcPr>
            <w:tcW w:type="dxa" w:w="2500"/>
            <w:shd w:fill="FDE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Subscriber payment data must be protected and the billing feature (skip/pause, recurring charge) implies PCI-DSS-adjacent compliance obligations.</w:t>
            </w:r>
          </w:p>
        </w:tc>
        <w:tc>
          <w:tcPr>
            <w:tcW w:type="dxa" w:w="2500"/>
            <w:shd w:fill="FDE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 suggested naming a concrete standard rather than “secure storage” — added AES-256 / TLS 1.2+, and moved the NFR type out of the description into the Type column.</w:t>
            </w:r>
          </w:p>
        </w:tc>
      </w:tr>
    </w:tbl>
    <w:p>
      <w:pPr>
        <w:sectPr>
          <w:footerReference w:type="default" r:id="rId7"/>
          <w:pgSz w:w="15840" w:h="12240" w:orient="portrait"/>
          <w:pgMar w:top="900" w:right="720" w:bottom="900" w:left="72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2. UML Use-Case Diagram</w:t>
      </w:r>
    </w:p>
    <w:p>
      <w:pPr>
        <w:spacing w:after="120"/>
      </w:pPr>
      <w:r>
        <w:t xml:space="preserve">Use-case diagram for the Subscription Box Portal, showing the Subscriber and Fulfillment Lead actors, the Payment Gateway external system, and the five core use cases.</w:t>
      </w:r>
    </w:p>
    <w:p>
      <w:pPr>
        <w:spacing w:before="200"/>
        <w:jc w:val="center"/>
      </w:pPr>
      <w:r>
        <w:drawing>
          <wp:inline distT="0" distB="0" distL="0" distR="0">
            <wp:extent cx="5905500" cy="456334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6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3. Use-Case Flow Specification</w:t>
      </w:r>
    </w:p>
    <w:p>
      <w:pPr>
        <w:spacing w:after="120"/>
      </w:pPr>
      <w:r>
        <w:rPr>
          <w:i/>
          <w:iCs/>
          <w:color w:val="595959"/>
        </w:rPr>
        <w:t xml:space="preserve">Lab 1 — Problem Statement #35: Customizable Subscription Box Scheduler</w:t>
      </w:r>
    </w:p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Use Case ID / Name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UC-01: Customize Monthly Box</w:t>
            </w:r>
          </w:p>
        </w:tc>
      </w:tr>
      <w:tr>
        <w:tc>
          <w:tcPr>
            <w:tcW w:type="dxa" w:w="4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Primary Actor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Subscriber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subscriber has an active subscription in good standing.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subscriber is authenticated and logged in to the portal.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monthly customization window is currently open (i.e., at least 48 hours remain before the billing renewal date, per FR-001).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subscriber's monthly box selection is saved and reflects the chosen products and preference tags.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updated selection is available to the fulfillment system for inclusion in the next fulfillment manifest (FR-004).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subscriber receives on-screen confirmation of the updated box.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Main Success Scenario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Subscriber opens the current month's box from their account dashboard.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System retrieves and displays the products available for the subscriber's selected preference tags (FR-002).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Subscriber selects or swaps products in the box, optionally adjusting preference tags to refine the list.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System validates the selection (e.g., quantity limits, product availability, customization window still open).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Subscriber reviews and confirms the customized box.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System saves the updated selection and timestamps the change.</w:t>
      </w:r>
    </w:p>
    <w:p>
      <w:pPr>
        <w:spacing w:after="60"/>
      </w:pPr>
      <w:r>
        <w:rPr>
          <w:b/>
          <w:bCs/>
        </w:rPr>
        <w:t xml:space="preserve">7. </w:t>
      </w:r>
      <w:r>
        <w:t xml:space="preserve">System displays a confirmation message summarizing the finalized box contents.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Alternate Flows</w:t>
      </w:r>
    </w:p>
    <w:p>
      <w:pPr>
        <w:spacing w:after="60"/>
      </w:pPr>
      <w:r>
        <w:rPr>
          <w:b/>
          <w:bCs/>
        </w:rPr>
        <w:t xml:space="preserve">A1. Customization Window Has Closed (branches at step 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3a1. System detects that fewer than 48 hours remain before the billing renewal date, or the window has already closed.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3a2. System prevents further changes to the current cycle’s box.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3a3. System displays a message: “Customization is closed for this cycle — changes will apply to next month’s box.”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3a4. Subscriber may choose to edit next month’s box instead, or exit the use case.</w:t>
      </w:r>
    </w:p>
    <w:p>
      <w:pPr>
        <w:spacing w:after="60" w:before="120"/>
      </w:pPr>
      <w:r>
        <w:rPr>
          <w:b/>
          <w:bCs/>
        </w:rPr>
        <w:t xml:space="preserve">A2. Selected Product Out of Stock (branches at step 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4a1. System validation detects that a selected product is unavailable.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4a2. System flags the item and suggests an in-stock alternative with a matching preference tag.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4a3. Subscriber picks the alternative or removes the item, then resumes at step 4.</w:t>
      </w:r>
    </w:p>
    <w:sectPr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PES1UG24CS163 — G.V.N.SREEHARSHA — Sec C — Lab 1: Customizable Subscription Box Scheduler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PES1UG24CS163 — G.V.N.SREEHARSHA — Sec C — Lab 1: Customizable Subscription Box Scheduler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PES1UG24CS163 — G.V.N.SREEHARSHA — Sec C — Lab 1: Customizable Subscription Box Scheduler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7f991a096bbcb4f70f47d19d3f0bacfab05de30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2026-08-27T06:56:26.898Z</dcterms:created>
  <dcterms:modified xsi:type="dcterms:W3CDTF">2026-08-27T06:56:26.911Z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