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744A" w14:textId="1EBA742F" w:rsidR="00BC55FA" w:rsidRPr="00BC55FA" w:rsidRDefault="00BC55FA" w:rsidP="00BC55FA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/>
          <w14:ligatures w14:val="none"/>
        </w:rPr>
        <w:t xml:space="preserve">      </w:t>
      </w:r>
      <w:r w:rsidRPr="00BC55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/>
          <w14:ligatures w14:val="none"/>
        </w:rPr>
        <w:t>AI-Powered Microbial Classifier for Kitchens</w:t>
      </w:r>
    </w:p>
    <w:p w14:paraId="58F417A5" w14:textId="77777777" w:rsidR="00BC55FA" w:rsidRDefault="00BC55FA" w:rsidP="00BC55FA">
      <w:pPr>
        <w:pStyle w:val="NormalWeb"/>
        <w:spacing w:before="181" w:beforeAutospacing="0" w:after="0" w:afterAutospacing="0"/>
      </w:pPr>
      <w:r>
        <w:rPr>
          <w:rFonts w:ascii="Liberation Sans" w:hAnsi="Liberation Sans"/>
          <w:color w:val="000000"/>
          <w:sz w:val="22"/>
          <w:szCs w:val="22"/>
        </w:rPr>
        <w:t xml:space="preserve">                                                          </w:t>
      </w:r>
      <w:r>
        <w:rPr>
          <w:color w:val="000000"/>
        </w:rPr>
        <w:t>A Project Report</w:t>
      </w:r>
    </w:p>
    <w:p w14:paraId="273BE9D6" w14:textId="77777777" w:rsidR="00BC55FA" w:rsidRDefault="00BC55FA" w:rsidP="00BC55FA">
      <w:pPr>
        <w:pStyle w:val="NormalWeb"/>
        <w:spacing w:before="0" w:beforeAutospacing="0" w:after="0" w:afterAutospacing="0"/>
        <w:ind w:right="2019"/>
        <w:jc w:val="center"/>
      </w:pPr>
      <w:r>
        <w:rPr>
          <w:color w:val="000000"/>
        </w:rPr>
        <w:t>                        Submitted in the partial fulfillment of the </w:t>
      </w:r>
    </w:p>
    <w:p w14:paraId="408688DD" w14:textId="77777777" w:rsidR="00BC55FA" w:rsidRDefault="00BC55FA" w:rsidP="00BC55FA">
      <w:pPr>
        <w:pStyle w:val="NormalWeb"/>
        <w:spacing w:before="0" w:beforeAutospacing="0" w:after="0" w:afterAutospacing="0"/>
        <w:ind w:right="2019"/>
        <w:jc w:val="center"/>
      </w:pPr>
      <w:r>
        <w:rPr>
          <w:color w:val="000000"/>
        </w:rPr>
        <w:t>                          requirements for the award of the degree of</w:t>
      </w:r>
    </w:p>
    <w:p w14:paraId="043D6320" w14:textId="77777777" w:rsidR="00BC55FA" w:rsidRPr="00F5354C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107820" w14:textId="77777777" w:rsidR="00BC55FA" w:rsidRPr="00F5354C" w:rsidRDefault="00BC55FA" w:rsidP="00BC55F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354C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BACHELOR OF TECHNOLOGY</w:t>
      </w:r>
    </w:p>
    <w:p w14:paraId="0CDD31A1" w14:textId="77777777" w:rsidR="00BC55FA" w:rsidRPr="00F5354C" w:rsidRDefault="00BC55FA" w:rsidP="00BC55FA">
      <w:pPr>
        <w:spacing w:before="160" w:after="0" w:line="240" w:lineRule="auto"/>
        <w:ind w:right="3137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                                       </w:t>
      </w:r>
      <w:r w:rsidRPr="00F5354C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In</w:t>
      </w:r>
    </w:p>
    <w:p w14:paraId="1CC5A457" w14:textId="77777777" w:rsidR="00BC55FA" w:rsidRPr="00F5354C" w:rsidRDefault="00BC55FA" w:rsidP="00BC55FA">
      <w:pPr>
        <w:spacing w:before="220" w:after="0" w:line="240" w:lineRule="auto"/>
        <w:ind w:left="12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DEPARTMENT OF COMPUTER SCIENCE ENGINNERING</w:t>
      </w:r>
    </w:p>
    <w:p w14:paraId="653E4F95" w14:textId="1EAB32F8" w:rsidR="00BC55FA" w:rsidRPr="00F5354C" w:rsidRDefault="00BC55FA" w:rsidP="00BC55FA">
      <w:pPr>
        <w:spacing w:before="220" w:after="0" w:line="240" w:lineRule="auto"/>
        <w:ind w:left="125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 xml:space="preserve">          </w:t>
      </w:r>
    </w:p>
    <w:p w14:paraId="1AA0A258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                        </w:t>
      </w:r>
    </w:p>
    <w:p w14:paraId="2D2F1F34" w14:textId="77777777" w:rsidR="00BC55FA" w:rsidRP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</w:p>
    <w:p w14:paraId="24E13752" w14:textId="1DE83F10" w:rsidR="00BC55FA" w:rsidRP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:shd w:val="clear" w:color="auto" w:fill="FFFFFF"/>
          <w14:ligatures w14:val="none"/>
        </w:rPr>
      </w:pPr>
      <w:r w:rsidRPr="00BC55F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                                                      </w:t>
      </w:r>
      <w:r w:rsidRPr="00BC55FA"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14:ligatures w14:val="none"/>
        </w:rPr>
        <w:t>BASE PAPER</w:t>
      </w:r>
    </w:p>
    <w:p w14:paraId="3DFA7AC2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4C9C0C2B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1E9B606B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6F14005B" w14:textId="198BADE8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0CDE044C" wp14:editId="3C579068">
            <wp:extent cx="2143125" cy="971550"/>
            <wp:effectExtent l="0" t="0" r="9525" b="0"/>
            <wp:docPr id="18263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C68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  <w:t xml:space="preserve">              </w:t>
      </w:r>
      <w:r>
        <w:rPr>
          <w:noProof/>
        </w:rPr>
        <w:drawing>
          <wp:inline distT="0" distB="0" distL="0" distR="0" wp14:anchorId="064BB37C" wp14:editId="21315D63">
            <wp:extent cx="4100080" cy="718503"/>
            <wp:effectExtent l="0" t="0" r="0" b="5715"/>
            <wp:docPr id="7342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1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708" cy="73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5A9B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4FC9CAA5" w14:textId="77777777" w:rsidR="00BC55FA" w:rsidRDefault="00BC55FA" w:rsidP="00BC55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0B6FE9B8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5F660026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67209682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</w:pPr>
    </w:p>
    <w:p w14:paraId="683AD7DC" w14:textId="77777777" w:rsidR="00BC55FA" w:rsidRPr="00F5354C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14:ligatures w14:val="none"/>
        </w:rPr>
        <w:t>                                     </w:t>
      </w:r>
    </w:p>
    <w:p w14:paraId="3477FC92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354C">
        <w:rPr>
          <w:rFonts w:ascii="Liberation Sans" w:eastAsia="Times New Roman" w:hAnsi="Liberation Sans" w:cs="Times New Roman"/>
          <w:color w:val="000000"/>
          <w:kern w:val="0"/>
          <w14:ligatures w14:val="none"/>
        </w:rPr>
        <w:t>                                     </w:t>
      </w:r>
    </w:p>
    <w:p w14:paraId="7A214B38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4FAFE8" w14:textId="77777777" w:rsidR="00BC55FA" w:rsidRDefault="00BC55FA" w:rsidP="00BC55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1C4E32" w14:textId="77777777" w:rsidR="00BC55FA" w:rsidRDefault="00BC55FA" w:rsidP="00BC55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EF091C1" w14:textId="77777777" w:rsidR="00BC55FA" w:rsidRPr="00F5354C" w:rsidRDefault="00BC55FA" w:rsidP="00BC55F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E147ECB" w14:textId="77777777" w:rsidR="00BC55FA" w:rsidRPr="00F5354C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                                             K L (Deemed to be) University </w:t>
      </w:r>
    </w:p>
    <w:p w14:paraId="1350F7F5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      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                 </w:t>
      </w: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 DEPARTMENT OF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COMPUTER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SCIENCE</w:t>
      </w:r>
      <w:r w:rsidRPr="00F535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ENGINEERING</w:t>
      </w:r>
    </w:p>
    <w:p w14:paraId="001B7D77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2DFEC53" w14:textId="77777777" w:rsid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1DDA8C97" w14:textId="77777777" w:rsidR="00BC55FA" w:rsidRDefault="00BC55FA" w:rsidP="00BC55FA">
      <w:pPr>
        <w:rPr>
          <w:b/>
          <w:bCs/>
          <w:color w:val="EE0000"/>
          <w:sz w:val="36"/>
          <w:szCs w:val="36"/>
          <w:lang w:val="en-IN"/>
        </w:rPr>
      </w:pPr>
    </w:p>
    <w:p w14:paraId="75FE8028" w14:textId="77777777" w:rsidR="00BC55FA" w:rsidRDefault="00BC55FA" w:rsidP="00BC55FA">
      <w:pPr>
        <w:rPr>
          <w:b/>
          <w:bCs/>
          <w:color w:val="EE0000"/>
          <w:sz w:val="36"/>
          <w:szCs w:val="36"/>
          <w:lang w:val="en-IN"/>
        </w:rPr>
      </w:pPr>
    </w:p>
    <w:p w14:paraId="0A66A923" w14:textId="645041F0" w:rsidR="00BC55FA" w:rsidRPr="001C3A0A" w:rsidRDefault="00BC55FA" w:rsidP="00BC55FA">
      <w:pPr>
        <w:rPr>
          <w:b/>
          <w:bCs/>
          <w:lang w:val="en-IN"/>
        </w:rPr>
      </w:pPr>
      <w:r w:rsidRPr="001C3A0A">
        <w:rPr>
          <w:b/>
          <w:bCs/>
          <w:color w:val="EE0000"/>
          <w:sz w:val="36"/>
          <w:szCs w:val="36"/>
          <w:lang w:val="en-IN"/>
        </w:rPr>
        <w:t>REFERENCES</w:t>
      </w:r>
      <w:r w:rsidRPr="001C3A0A">
        <w:rPr>
          <w:b/>
          <w:bCs/>
          <w:lang w:val="en-IN"/>
        </w:rPr>
        <w:t xml:space="preserve"> </w:t>
      </w:r>
    </w:p>
    <w:p w14:paraId="1F73637B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World Health Organization. (2022). </w:t>
      </w:r>
      <w:r w:rsidRPr="00BC55FA">
        <w:rPr>
          <w:i/>
          <w:iCs/>
          <w:sz w:val="32"/>
          <w:szCs w:val="32"/>
          <w:lang w:val="en-IN"/>
        </w:rPr>
        <w:t>Foodborne diseases</w:t>
      </w:r>
      <w:r w:rsidRPr="00BC55FA">
        <w:rPr>
          <w:sz w:val="32"/>
          <w:szCs w:val="32"/>
          <w:lang w:val="en-IN"/>
        </w:rPr>
        <w:t>. WHO.</w:t>
      </w:r>
      <w:r w:rsidRPr="00BC55FA">
        <w:rPr>
          <w:sz w:val="32"/>
          <w:szCs w:val="32"/>
          <w:lang w:val="en-IN"/>
        </w:rPr>
        <w:br/>
      </w:r>
      <w:hyperlink r:id="rId7" w:tgtFrame="_new" w:history="1">
        <w:r w:rsidRPr="00BC55FA">
          <w:rPr>
            <w:rStyle w:val="Hyperlink"/>
            <w:sz w:val="32"/>
            <w:szCs w:val="32"/>
            <w:lang w:val="en-IN"/>
          </w:rPr>
          <w:t>https://www.who.int/health-topics/foodborne-diseases</w:t>
        </w:r>
      </w:hyperlink>
    </w:p>
    <w:p w14:paraId="28BC2F44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proofErr w:type="spellStart"/>
      <w:r w:rsidRPr="00BC55FA">
        <w:rPr>
          <w:sz w:val="32"/>
          <w:szCs w:val="32"/>
          <w:lang w:val="en-IN"/>
        </w:rPr>
        <w:t>Centers</w:t>
      </w:r>
      <w:proofErr w:type="spellEnd"/>
      <w:r w:rsidRPr="00BC55FA">
        <w:rPr>
          <w:sz w:val="32"/>
          <w:szCs w:val="32"/>
          <w:lang w:val="en-IN"/>
        </w:rPr>
        <w:t xml:space="preserve"> for Disease Control and Prevention. (2023). </w:t>
      </w:r>
      <w:r w:rsidRPr="00BC55FA">
        <w:rPr>
          <w:i/>
          <w:iCs/>
          <w:sz w:val="32"/>
          <w:szCs w:val="32"/>
          <w:lang w:val="en-IN"/>
        </w:rPr>
        <w:t>Foodborne Germs and Illnesses</w:t>
      </w:r>
      <w:r w:rsidRPr="00BC55FA">
        <w:rPr>
          <w:sz w:val="32"/>
          <w:szCs w:val="32"/>
          <w:lang w:val="en-IN"/>
        </w:rPr>
        <w:t>. CDC.</w:t>
      </w:r>
      <w:r w:rsidRPr="00BC55FA">
        <w:rPr>
          <w:sz w:val="32"/>
          <w:szCs w:val="32"/>
          <w:lang w:val="en-IN"/>
        </w:rPr>
        <w:br/>
      </w:r>
      <w:hyperlink r:id="rId8" w:tgtFrame="_new" w:history="1">
        <w:r w:rsidRPr="00BC55FA">
          <w:rPr>
            <w:rStyle w:val="Hyperlink"/>
            <w:sz w:val="32"/>
            <w:szCs w:val="32"/>
            <w:lang w:val="en-IN"/>
          </w:rPr>
          <w:t>https://www.cdc.gov/foodsafety/foodborne-germs.html</w:t>
        </w:r>
      </w:hyperlink>
    </w:p>
    <w:p w14:paraId="566E056A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Choudhary, R., &amp; Malik, A. (2021). </w:t>
      </w:r>
      <w:r w:rsidRPr="00BC55FA">
        <w:rPr>
          <w:i/>
          <w:iCs/>
          <w:sz w:val="32"/>
          <w:szCs w:val="32"/>
          <w:lang w:val="en-IN"/>
        </w:rPr>
        <w:t>Artificial intelligence applications for rapid detection of foodborne pathogens</w:t>
      </w:r>
      <w:r w:rsidRPr="00BC55FA">
        <w:rPr>
          <w:sz w:val="32"/>
          <w:szCs w:val="32"/>
          <w:lang w:val="en-IN"/>
        </w:rPr>
        <w:t>. Journal of Food Science and Technology, 58(10), 3801-3810.</w:t>
      </w:r>
      <w:r w:rsidRPr="00BC55FA">
        <w:rPr>
          <w:sz w:val="32"/>
          <w:szCs w:val="32"/>
          <w:lang w:val="en-IN"/>
        </w:rPr>
        <w:br/>
        <w:t>https://doi.org/10.1007/s13197-021-05013-7</w:t>
      </w:r>
    </w:p>
    <w:p w14:paraId="55D298CF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Jaiswal, A. K., et al. (2020). </w:t>
      </w:r>
      <w:r w:rsidRPr="00BC55FA">
        <w:rPr>
          <w:i/>
          <w:iCs/>
          <w:sz w:val="32"/>
          <w:szCs w:val="32"/>
          <w:lang w:val="en-IN"/>
        </w:rPr>
        <w:t>Deep learning-based food contamination detection</w:t>
      </w:r>
      <w:r w:rsidRPr="00BC55FA">
        <w:rPr>
          <w:sz w:val="32"/>
          <w:szCs w:val="32"/>
          <w:lang w:val="en-IN"/>
        </w:rPr>
        <w:t>. IEEE Access, 8, 128001-128015.</w:t>
      </w:r>
      <w:r w:rsidRPr="00BC55FA">
        <w:rPr>
          <w:sz w:val="32"/>
          <w:szCs w:val="32"/>
          <w:lang w:val="en-IN"/>
        </w:rPr>
        <w:br/>
        <w:t>https://doi.org/10.1109/ACCESS.2020.3007112</w:t>
      </w:r>
    </w:p>
    <w:p w14:paraId="0B3D2D38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Tan, M., &amp; Le, Q. (2020). </w:t>
      </w:r>
      <w:proofErr w:type="spellStart"/>
      <w:r w:rsidRPr="00BC55FA">
        <w:rPr>
          <w:i/>
          <w:iCs/>
          <w:sz w:val="32"/>
          <w:szCs w:val="32"/>
          <w:lang w:val="en-IN"/>
        </w:rPr>
        <w:t>EfficientNet</w:t>
      </w:r>
      <w:proofErr w:type="spellEnd"/>
      <w:r w:rsidRPr="00BC55FA">
        <w:rPr>
          <w:i/>
          <w:iCs/>
          <w:sz w:val="32"/>
          <w:szCs w:val="32"/>
          <w:lang w:val="en-IN"/>
        </w:rPr>
        <w:t>: Rethinking model scaling for convolutional neural networks</w:t>
      </w:r>
      <w:r w:rsidRPr="00BC55FA">
        <w:rPr>
          <w:sz w:val="32"/>
          <w:szCs w:val="32"/>
          <w:lang w:val="en-IN"/>
        </w:rPr>
        <w:t>. ICML.</w:t>
      </w:r>
      <w:r w:rsidRPr="00BC55FA">
        <w:rPr>
          <w:sz w:val="32"/>
          <w:szCs w:val="32"/>
          <w:lang w:val="en-IN"/>
        </w:rPr>
        <w:br/>
        <w:t>https://arxiv.org/abs/1905.11946</w:t>
      </w:r>
    </w:p>
    <w:p w14:paraId="44FC8606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Lakshmi, T., &amp; Prasad, M. (2021). </w:t>
      </w:r>
      <w:r w:rsidRPr="00BC55FA">
        <w:rPr>
          <w:i/>
          <w:iCs/>
          <w:sz w:val="32"/>
          <w:szCs w:val="32"/>
          <w:lang w:val="en-IN"/>
        </w:rPr>
        <w:t>AI and IoT-based kitchen sanitation monitoring system</w:t>
      </w:r>
      <w:r w:rsidRPr="00BC55FA">
        <w:rPr>
          <w:sz w:val="32"/>
          <w:szCs w:val="32"/>
          <w:lang w:val="en-IN"/>
        </w:rPr>
        <w:t>. International Journal of Advanced Computer Science, 12(3), 45-51.</w:t>
      </w:r>
    </w:p>
    <w:p w14:paraId="26AE755D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Kamrani, M., et al. (2022). </w:t>
      </w:r>
      <w:r w:rsidRPr="00BC55FA">
        <w:rPr>
          <w:i/>
          <w:iCs/>
          <w:sz w:val="32"/>
          <w:szCs w:val="32"/>
          <w:lang w:val="en-IN"/>
        </w:rPr>
        <w:t>Application of machine learning in food microbiology</w:t>
      </w:r>
      <w:r w:rsidRPr="00BC55FA">
        <w:rPr>
          <w:sz w:val="32"/>
          <w:szCs w:val="32"/>
          <w:lang w:val="en-IN"/>
        </w:rPr>
        <w:t>. Frontiers in Microbiology, 13.</w:t>
      </w:r>
      <w:r w:rsidRPr="00BC55FA">
        <w:rPr>
          <w:sz w:val="32"/>
          <w:szCs w:val="32"/>
          <w:lang w:val="en-IN"/>
        </w:rPr>
        <w:br/>
        <w:t>https://doi.org/10.3389/fmicb.2022.841231</w:t>
      </w:r>
    </w:p>
    <w:p w14:paraId="0DD93AD1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National Institute of Health. (2022). </w:t>
      </w:r>
      <w:proofErr w:type="gramStart"/>
      <w:r w:rsidRPr="00BC55FA">
        <w:rPr>
          <w:i/>
          <w:iCs/>
          <w:sz w:val="32"/>
          <w:szCs w:val="32"/>
          <w:lang w:val="en-IN"/>
        </w:rPr>
        <w:t>E.coli</w:t>
      </w:r>
      <w:proofErr w:type="gramEnd"/>
      <w:r w:rsidRPr="00BC55FA">
        <w:rPr>
          <w:i/>
          <w:iCs/>
          <w:sz w:val="32"/>
          <w:szCs w:val="32"/>
          <w:lang w:val="en-IN"/>
        </w:rPr>
        <w:t>, Salmonella, and Listeria infection facts</w:t>
      </w:r>
      <w:r w:rsidRPr="00BC55FA">
        <w:rPr>
          <w:sz w:val="32"/>
          <w:szCs w:val="32"/>
          <w:lang w:val="en-IN"/>
        </w:rPr>
        <w:t>. NIH.</w:t>
      </w:r>
      <w:r w:rsidRPr="00BC55FA">
        <w:rPr>
          <w:sz w:val="32"/>
          <w:szCs w:val="32"/>
          <w:lang w:val="en-IN"/>
        </w:rPr>
        <w:br/>
      </w:r>
      <w:hyperlink r:id="rId9" w:tgtFrame="_new" w:history="1">
        <w:r w:rsidRPr="00BC55FA">
          <w:rPr>
            <w:rStyle w:val="Hyperlink"/>
            <w:sz w:val="32"/>
            <w:szCs w:val="32"/>
            <w:lang w:val="en-IN"/>
          </w:rPr>
          <w:t>https://www.nih.gov</w:t>
        </w:r>
      </w:hyperlink>
    </w:p>
    <w:p w14:paraId="61B22915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t xml:space="preserve">TensorFlow Documentation. (2023). </w:t>
      </w:r>
      <w:r w:rsidRPr="00BC55FA">
        <w:rPr>
          <w:i/>
          <w:iCs/>
          <w:sz w:val="32"/>
          <w:szCs w:val="32"/>
          <w:lang w:val="en-IN"/>
        </w:rPr>
        <w:t xml:space="preserve">Transfer learning with </w:t>
      </w:r>
      <w:proofErr w:type="spellStart"/>
      <w:r w:rsidRPr="00BC55FA">
        <w:rPr>
          <w:i/>
          <w:iCs/>
          <w:sz w:val="32"/>
          <w:szCs w:val="32"/>
          <w:lang w:val="en-IN"/>
        </w:rPr>
        <w:t>EfficientNet</w:t>
      </w:r>
      <w:proofErr w:type="spellEnd"/>
      <w:r w:rsidRPr="00BC55FA">
        <w:rPr>
          <w:sz w:val="32"/>
          <w:szCs w:val="32"/>
          <w:lang w:val="en-IN"/>
        </w:rPr>
        <w:t>.</w:t>
      </w:r>
      <w:r w:rsidRPr="00BC55FA">
        <w:rPr>
          <w:sz w:val="32"/>
          <w:szCs w:val="32"/>
          <w:lang w:val="en-IN"/>
        </w:rPr>
        <w:br/>
      </w:r>
      <w:hyperlink r:id="rId10" w:tgtFrame="_new" w:history="1">
        <w:r w:rsidRPr="00BC55FA">
          <w:rPr>
            <w:rStyle w:val="Hyperlink"/>
            <w:sz w:val="32"/>
            <w:szCs w:val="32"/>
            <w:lang w:val="en-IN"/>
          </w:rPr>
          <w:t>https://www.tensorflow.org/tutorials/images/transfer_learning</w:t>
        </w:r>
      </w:hyperlink>
    </w:p>
    <w:p w14:paraId="0ADEFD93" w14:textId="77777777" w:rsidR="00BC55FA" w:rsidRPr="00BC55FA" w:rsidRDefault="00BC55FA" w:rsidP="00BC55FA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BC55FA">
        <w:rPr>
          <w:sz w:val="32"/>
          <w:szCs w:val="32"/>
          <w:lang w:val="en-IN"/>
        </w:rPr>
        <w:lastRenderedPageBreak/>
        <w:t xml:space="preserve">Kaggle Datasets. (2023). </w:t>
      </w:r>
      <w:r w:rsidRPr="00BC55FA">
        <w:rPr>
          <w:i/>
          <w:iCs/>
          <w:sz w:val="32"/>
          <w:szCs w:val="32"/>
          <w:lang w:val="en-IN"/>
        </w:rPr>
        <w:t>Microbial &amp; food safety datasets</w:t>
      </w:r>
      <w:r w:rsidRPr="00BC55FA">
        <w:rPr>
          <w:sz w:val="32"/>
          <w:szCs w:val="32"/>
          <w:lang w:val="en-IN"/>
        </w:rPr>
        <w:t>.</w:t>
      </w:r>
      <w:r w:rsidRPr="00BC55FA">
        <w:rPr>
          <w:sz w:val="32"/>
          <w:szCs w:val="32"/>
          <w:lang w:val="en-IN"/>
        </w:rPr>
        <w:br/>
      </w:r>
      <w:hyperlink r:id="rId11" w:tgtFrame="_new" w:history="1">
        <w:r w:rsidRPr="00BC55FA">
          <w:rPr>
            <w:rStyle w:val="Hyperlink"/>
            <w:sz w:val="32"/>
            <w:szCs w:val="32"/>
            <w:lang w:val="en-IN"/>
          </w:rPr>
          <w:t>https://www.kaggle.com/</w:t>
        </w:r>
      </w:hyperlink>
    </w:p>
    <w:p w14:paraId="27B295F1" w14:textId="77777777" w:rsidR="00BC55FA" w:rsidRPr="00BC55FA" w:rsidRDefault="00BC55FA" w:rsidP="00BC55FA">
      <w:pPr>
        <w:pStyle w:val="Heading2"/>
        <w:rPr>
          <w:rFonts w:cs="Times New Roman"/>
          <w:color w:val="EE0000"/>
        </w:rPr>
      </w:pPr>
      <w:r w:rsidRPr="00BC55FA">
        <w:rPr>
          <w:rStyle w:val="Strong"/>
          <w:color w:val="EE0000"/>
        </w:rPr>
        <w:t>IEEE Format References</w:t>
      </w:r>
    </w:p>
    <w:p w14:paraId="092F1878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[1] WHO, "Foodborne Diseases," 2022. [Online]. Available: </w:t>
      </w:r>
      <w:hyperlink r:id="rId12" w:tgtFrame="_new" w:history="1">
        <w:r w:rsidRPr="00BC55FA">
          <w:rPr>
            <w:rStyle w:val="Hyperlink"/>
            <w:rFonts w:eastAsiaTheme="majorEastAsia"/>
            <w:sz w:val="32"/>
            <w:szCs w:val="32"/>
          </w:rPr>
          <w:t>https://www.who.int/health-topics/foodborne-diseases</w:t>
        </w:r>
      </w:hyperlink>
    </w:p>
    <w:p w14:paraId="6ECA65DE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[2] CDC, "Foodborne Germs and Illnesses," 2023. [Online]. Available: </w:t>
      </w:r>
      <w:hyperlink r:id="rId13" w:tgtFrame="_new" w:history="1">
        <w:r w:rsidRPr="00BC55FA">
          <w:rPr>
            <w:rStyle w:val="Hyperlink"/>
            <w:rFonts w:eastAsiaTheme="majorEastAsia"/>
            <w:sz w:val="32"/>
            <w:szCs w:val="32"/>
          </w:rPr>
          <w:t>https://www.cdc.gov/foodsafety/</w:t>
        </w:r>
      </w:hyperlink>
    </w:p>
    <w:p w14:paraId="65B2F147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[3] R. Choudhary and A. Malik, "AI-Based Detection of Foodborne Pathogens," </w:t>
      </w:r>
      <w:r w:rsidRPr="00BC55FA">
        <w:rPr>
          <w:rStyle w:val="Emphasis"/>
          <w:rFonts w:eastAsiaTheme="majorEastAsia"/>
          <w:sz w:val="32"/>
          <w:szCs w:val="32"/>
        </w:rPr>
        <w:t>Journal of Food Sci &amp; Tech</w:t>
      </w:r>
      <w:r w:rsidRPr="00BC55FA">
        <w:rPr>
          <w:sz w:val="32"/>
          <w:szCs w:val="32"/>
        </w:rPr>
        <w:t>, vol. 58, no. 10, pp. 3801-3810, 2021.</w:t>
      </w:r>
    </w:p>
    <w:p w14:paraId="1CDF25E9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[4] A. Jaiswal et al., "Deep Learning-Based Food Contamination Detection," </w:t>
      </w:r>
      <w:r w:rsidRPr="00BC55FA">
        <w:rPr>
          <w:rStyle w:val="Emphasis"/>
          <w:rFonts w:eastAsiaTheme="majorEastAsia"/>
          <w:sz w:val="32"/>
          <w:szCs w:val="32"/>
        </w:rPr>
        <w:t>IEEE Access</w:t>
      </w:r>
      <w:r w:rsidRPr="00BC55FA">
        <w:rPr>
          <w:sz w:val="32"/>
          <w:szCs w:val="32"/>
        </w:rPr>
        <w:t>, vol. 8, pp. 128001-128015, 2020.</w:t>
      </w:r>
    </w:p>
    <w:p w14:paraId="37BE0B73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>[5] M. Tan and Q. Le, "</w:t>
      </w:r>
      <w:proofErr w:type="spellStart"/>
      <w:r w:rsidRPr="00BC55FA">
        <w:rPr>
          <w:sz w:val="32"/>
          <w:szCs w:val="32"/>
        </w:rPr>
        <w:t>EfficientNet</w:t>
      </w:r>
      <w:proofErr w:type="spellEnd"/>
      <w:r w:rsidRPr="00BC55FA">
        <w:rPr>
          <w:sz w:val="32"/>
          <w:szCs w:val="32"/>
        </w:rPr>
        <w:t xml:space="preserve">: Rethinking Model Scaling," </w:t>
      </w:r>
      <w:r w:rsidRPr="00BC55FA">
        <w:rPr>
          <w:rStyle w:val="Emphasis"/>
          <w:rFonts w:eastAsiaTheme="majorEastAsia"/>
          <w:sz w:val="32"/>
          <w:szCs w:val="32"/>
        </w:rPr>
        <w:t>ICML</w:t>
      </w:r>
      <w:r w:rsidRPr="00BC55FA">
        <w:rPr>
          <w:sz w:val="32"/>
          <w:szCs w:val="32"/>
        </w:rPr>
        <w:t>, 2019.</w:t>
      </w:r>
    </w:p>
    <w:p w14:paraId="10CA1046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[6] M. Kamrani et al., "Machine Learning in Food Microbiology," </w:t>
      </w:r>
      <w:r w:rsidRPr="00BC55FA">
        <w:rPr>
          <w:rStyle w:val="Emphasis"/>
          <w:rFonts w:eastAsiaTheme="majorEastAsia"/>
          <w:sz w:val="32"/>
          <w:szCs w:val="32"/>
        </w:rPr>
        <w:t>Frontiers in Microbiology</w:t>
      </w:r>
      <w:r w:rsidRPr="00BC55FA">
        <w:rPr>
          <w:sz w:val="32"/>
          <w:szCs w:val="32"/>
        </w:rPr>
        <w:t>, 2022.</w:t>
      </w:r>
    </w:p>
    <w:p w14:paraId="32DF0A93" w14:textId="77777777" w:rsidR="00BC55FA" w:rsidRPr="00BC55FA" w:rsidRDefault="00BC55FA" w:rsidP="00BC55FA">
      <w:pPr>
        <w:pStyle w:val="NormalWeb"/>
        <w:rPr>
          <w:sz w:val="32"/>
          <w:szCs w:val="32"/>
        </w:rPr>
      </w:pPr>
      <w:r w:rsidRPr="00BC55FA">
        <w:rPr>
          <w:sz w:val="32"/>
          <w:szCs w:val="32"/>
        </w:rPr>
        <w:t xml:space="preserve">[7] TensorFlow Docs, "Transfer Learning Guide," 2023. [Online]. Available: </w:t>
      </w:r>
      <w:hyperlink r:id="rId14" w:tgtFrame="_new" w:history="1">
        <w:r w:rsidRPr="00BC55FA">
          <w:rPr>
            <w:rStyle w:val="Hyperlink"/>
            <w:rFonts w:eastAsiaTheme="majorEastAsia"/>
            <w:sz w:val="32"/>
            <w:szCs w:val="32"/>
          </w:rPr>
          <w:t>https://www.tensorflow.org</w:t>
        </w:r>
      </w:hyperlink>
    </w:p>
    <w:p w14:paraId="31A56545" w14:textId="77777777" w:rsidR="00BC55FA" w:rsidRPr="00BC55FA" w:rsidRDefault="00BC55FA" w:rsidP="00BC55FA">
      <w:pPr>
        <w:ind w:left="720"/>
        <w:rPr>
          <w:sz w:val="32"/>
          <w:szCs w:val="32"/>
          <w:lang w:val="en-IN"/>
        </w:rPr>
      </w:pPr>
    </w:p>
    <w:p w14:paraId="312AE6ED" w14:textId="77777777" w:rsidR="00BC55FA" w:rsidRPr="00BC55FA" w:rsidRDefault="00BC55FA" w:rsidP="00BC55FA">
      <w:pPr>
        <w:rPr>
          <w:sz w:val="32"/>
          <w:szCs w:val="32"/>
          <w:lang w:val="en-IN"/>
        </w:rPr>
      </w:pPr>
    </w:p>
    <w:p w14:paraId="77621FB0" w14:textId="77777777" w:rsidR="00BC55FA" w:rsidRP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4452D0D" w14:textId="77777777" w:rsidR="00BC55FA" w:rsidRPr="00BC55FA" w:rsidRDefault="00BC55FA" w:rsidP="00BC55F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1499F67" w14:textId="77777777" w:rsidR="00D43CDF" w:rsidRPr="00BC55FA" w:rsidRDefault="00D43CDF">
      <w:pPr>
        <w:rPr>
          <w:sz w:val="32"/>
          <w:szCs w:val="32"/>
        </w:rPr>
      </w:pPr>
    </w:p>
    <w:sectPr w:rsidR="00D43CDF" w:rsidRPr="00BC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E525C"/>
    <w:multiLevelType w:val="multilevel"/>
    <w:tmpl w:val="ADC04F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2011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FA"/>
    <w:rsid w:val="003D38F4"/>
    <w:rsid w:val="00942428"/>
    <w:rsid w:val="00B713B9"/>
    <w:rsid w:val="00B967BD"/>
    <w:rsid w:val="00BC55FA"/>
    <w:rsid w:val="00C45F09"/>
    <w:rsid w:val="00D43CDF"/>
    <w:rsid w:val="00E4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CBCD"/>
  <w15:chartTrackingRefBased/>
  <w15:docId w15:val="{6EEE08E2-B9DC-4CDC-931B-B5F7A79C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FA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BC55F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C55FA"/>
    <w:rPr>
      <w:b/>
      <w:bCs/>
    </w:rPr>
  </w:style>
  <w:style w:type="character" w:styleId="Emphasis">
    <w:name w:val="Emphasis"/>
    <w:basedOn w:val="DefaultParagraphFont"/>
    <w:uiPriority w:val="20"/>
    <w:qFormat/>
    <w:rsid w:val="00BC55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foodsafety/foodborne-germs.html" TargetMode="External"/><Relationship Id="rId13" Type="http://schemas.openxmlformats.org/officeDocument/2006/relationships/hyperlink" Target="https://www.cdc.gov/foodsafe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o.int/health-topics/foodborne-diseases" TargetMode="External"/><Relationship Id="rId12" Type="http://schemas.openxmlformats.org/officeDocument/2006/relationships/hyperlink" Target="https://www.who.int/health-topics/foodborne-diseas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aggle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tensorflow.org/tutorials/images/transfer_lear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h.gov" TargetMode="External"/><Relationship Id="rId14" Type="http://schemas.openxmlformats.org/officeDocument/2006/relationships/hyperlink" Target="https://www.tensorflow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ravvarapu snigdha</dc:creator>
  <cp:keywords/>
  <dc:description/>
  <cp:lastModifiedBy>ravvarapu snigdha</cp:lastModifiedBy>
  <cp:revision>2</cp:revision>
  <dcterms:created xsi:type="dcterms:W3CDTF">2025-11-07T06:14:00Z</dcterms:created>
  <dcterms:modified xsi:type="dcterms:W3CDTF">2025-11-07T06:14:00Z</dcterms:modified>
</cp:coreProperties>
</file>