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Business Review — Q2 2025</w:t>
      </w:r>
    </w:p>
    <w:p>
      <w:r>
        <w:t>LumenForge Products Inc. — Synthetic QBR</w:t>
      </w:r>
    </w:p>
    <w:p>
      <w:r>
        <w:t>Document ID: BUS-QBR-2025-Q2</w:t>
      </w:r>
    </w:p>
    <w:p>
      <w:pPr>
        <w:pStyle w:val="Heading1"/>
      </w:pPr>
      <w:r>
        <w:t>1. Executive Snapshot</w:t>
      </w:r>
    </w:p>
    <w:p>
      <w:r>
        <w:t>Overall revenue trajectory remains positive for the core sensor and gateway lines. PulseMonitor Industrial (PRD-LF-500) continues to underperform relative to 2023–2024 run rates.</w:t>
      </w:r>
    </w:p>
    <w:p>
      <w:pPr>
        <w:pStyle w:val="Heading1"/>
      </w:pPr>
      <w:r>
        <w:t>2. Product Performance</w:t>
      </w:r>
    </w:p>
    <w:p>
      <w:r>
        <w:t>• LumenSense Pro and ForgeHub Gateway remain volume leaders.</w:t>
      </w:r>
    </w:p>
    <w:p>
      <w:r>
        <w:t>• EcoRelay and AeroTrack show stable demand across segments.</w:t>
      </w:r>
    </w:p>
    <w:p>
      <w:r>
        <w:t>• PulseMonitor Industrial unit sales have contracted sharply in 2025; inventory days-of-supply elevated — action required.</w:t>
      </w:r>
    </w:p>
    <w:p>
      <w:pPr>
        <w:pStyle w:val="Heading1"/>
      </w:pPr>
      <w:r>
        <w:t>3. Customer &amp; Channel</w:t>
      </w:r>
    </w:p>
    <w:p>
      <w:r>
        <w:t>Enterprise segment delivers highest average order value. Online channel growth continues. Return rates remain within historical bands except for a small cluster of Consumer PulseMonitor returns.</w:t>
      </w:r>
    </w:p>
    <w:p>
      <w:pPr>
        <w:pStyle w:val="Heading1"/>
      </w:pPr>
      <w:r>
        <w:t>4. Actions</w:t>
      </w:r>
    </w:p>
    <w:p>
      <w:r>
        <w:t>1. Initiate end-of-life or repositioning review for PRD-LF-500.</w:t>
      </w:r>
    </w:p>
    <w:p>
      <w:r>
        <w:t>2. Rebalance inventory of overstocked SKUs.</w:t>
      </w:r>
    </w:p>
    <w:p>
      <w:r>
        <w:t>3. Retain full transaction history for analytics testing in SYNAPTIX COMMAND.</w:t>
      </w:r>
    </w:p>
    <w:p/>
    <w:p>
      <w:r>
        <w:rPr>
          <w:i/>
        </w:rPr>
        <w:t>— Synthetic QBR for prototype testing only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