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 Variance Report</w:t>
      </w:r>
    </w:p>
    <w:p>
      <w:pPr>
        <w:jc w:val="center"/>
      </w:pPr>
      <w:r>
        <w:t>Aether Dynamics Corp — Fiscal Year 2024 (Synthetic)</w:t>
      </w:r>
    </w:p>
    <w:p>
      <w:r>
        <w:t>Document ID: FIN-BVR-2024-Q4 | Prepared: 2025-01-22 | Classification: Internal Synthetic</w:t>
      </w:r>
    </w:p>
    <w:p>
      <w:pPr>
        <w:pStyle w:val="Heading1"/>
      </w:pPr>
      <w:r>
        <w:t>1. Purpose</w:t>
      </w:r>
    </w:p>
    <w:p>
      <w:r>
        <w:t>This report quantifies variances between the approved 2024 operating budget and actual results. It highlights material overruns for use in anomaly detection and management review testing within the SYNAPTIX COMMAND platform.</w:t>
      </w:r>
    </w:p>
    <w:p>
      <w:pPr>
        <w:pStyle w:val="Heading1"/>
      </w:pPr>
      <w:r>
        <w:t>2. Summary of Material Variances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Cost Center</w:t>
            </w:r>
          </w:p>
        </w:tc>
        <w:tc>
          <w:tcPr>
            <w:tcW w:type="dxa" w:w="1728"/>
          </w:tcPr>
          <w:p>
            <w:r>
              <w:t>Budget ($000)</w:t>
            </w:r>
          </w:p>
        </w:tc>
        <w:tc>
          <w:tcPr>
            <w:tcW w:type="dxa" w:w="1728"/>
          </w:tcPr>
          <w:p>
            <w:r>
              <w:t>Actual ($000)</w:t>
            </w:r>
          </w:p>
        </w:tc>
        <w:tc>
          <w:tcPr>
            <w:tcW w:type="dxa" w:w="1728"/>
          </w:tcPr>
          <w:p>
            <w:r>
              <w:t>Variance ($000)</w:t>
            </w:r>
          </w:p>
        </w:tc>
        <w:tc>
          <w:tcPr>
            <w:tcW w:type="dxa" w:w="1728"/>
          </w:tcPr>
          <w:p>
            <w:r>
              <w:t>Variance %</w:t>
            </w:r>
          </w:p>
        </w:tc>
      </w:tr>
      <w:tr>
        <w:tc>
          <w:tcPr>
            <w:tcW w:type="dxa" w:w="1728"/>
          </w:tcPr>
          <w:p>
            <w:r>
              <w:t>Manufacturing OpEx</w:t>
            </w:r>
          </w:p>
        </w:tc>
        <w:tc>
          <w:tcPr>
            <w:tcW w:type="dxa" w:w="1728"/>
          </w:tcPr>
          <w:p>
            <w:r>
              <w:t>8,450</w:t>
            </w:r>
          </w:p>
        </w:tc>
        <w:tc>
          <w:tcPr>
            <w:tcW w:type="dxa" w:w="1728"/>
          </w:tcPr>
          <w:p>
            <w:r>
              <w:t>9,413</w:t>
            </w:r>
          </w:p>
        </w:tc>
        <w:tc>
          <w:tcPr>
            <w:tcW w:type="dxa" w:w="1728"/>
          </w:tcPr>
          <w:p>
            <w:r>
              <w:t>+963</w:t>
            </w:r>
          </w:p>
        </w:tc>
        <w:tc>
          <w:tcPr>
            <w:tcW w:type="dxa" w:w="1728"/>
          </w:tcPr>
          <w:p>
            <w:r>
              <w:t>+11.4%</w:t>
            </w:r>
          </w:p>
        </w:tc>
      </w:tr>
      <w:tr>
        <w:tc>
          <w:tcPr>
            <w:tcW w:type="dxa" w:w="1728"/>
          </w:tcPr>
          <w:p>
            <w:r>
              <w:t>R&amp;D Consulting</w:t>
            </w:r>
          </w:p>
        </w:tc>
        <w:tc>
          <w:tcPr>
            <w:tcW w:type="dxa" w:w="1728"/>
          </w:tcPr>
          <w:p>
            <w:r>
              <w:t>1,200</w:t>
            </w:r>
          </w:p>
        </w:tc>
        <w:tc>
          <w:tcPr>
            <w:tcW w:type="dxa" w:w="1728"/>
          </w:tcPr>
          <w:p>
            <w:r>
              <w:t>1,410</w:t>
            </w:r>
          </w:p>
        </w:tc>
        <w:tc>
          <w:tcPr>
            <w:tcW w:type="dxa" w:w="1728"/>
          </w:tcPr>
          <w:p>
            <w:r>
              <w:t>+210</w:t>
            </w:r>
          </w:p>
        </w:tc>
        <w:tc>
          <w:tcPr>
            <w:tcW w:type="dxa" w:w="1728"/>
          </w:tcPr>
          <w:p>
            <w:r>
              <w:t>+17.5%</w:t>
            </w:r>
          </w:p>
        </w:tc>
      </w:tr>
      <w:tr>
        <w:tc>
          <w:tcPr>
            <w:tcW w:type="dxa" w:w="1728"/>
          </w:tcPr>
          <w:p>
            <w:r>
              <w:t>Logistics</w:t>
            </w:r>
          </w:p>
        </w:tc>
        <w:tc>
          <w:tcPr>
            <w:tcW w:type="dxa" w:w="1728"/>
          </w:tcPr>
          <w:p>
            <w:r>
              <w:t>2,180</w:t>
            </w:r>
          </w:p>
        </w:tc>
        <w:tc>
          <w:tcPr>
            <w:tcW w:type="dxa" w:w="1728"/>
          </w:tcPr>
          <w:p>
            <w:r>
              <w:t>2,095</w:t>
            </w:r>
          </w:p>
        </w:tc>
        <w:tc>
          <w:tcPr>
            <w:tcW w:type="dxa" w:w="1728"/>
          </w:tcPr>
          <w:p>
            <w:r>
              <w:t>−85</w:t>
            </w:r>
          </w:p>
        </w:tc>
        <w:tc>
          <w:tcPr>
            <w:tcW w:type="dxa" w:w="1728"/>
          </w:tcPr>
          <w:p>
            <w:r>
              <w:t>−3.9%</w:t>
            </w:r>
          </w:p>
        </w:tc>
      </w:tr>
      <w:tr>
        <w:tc>
          <w:tcPr>
            <w:tcW w:type="dxa" w:w="1728"/>
          </w:tcPr>
          <w:p>
            <w:r>
              <w:t>IT Licenses</w:t>
            </w:r>
          </w:p>
        </w:tc>
        <w:tc>
          <w:tcPr>
            <w:tcW w:type="dxa" w:w="1728"/>
          </w:tcPr>
          <w:p>
            <w:r>
              <w:t>980</w:t>
            </w:r>
          </w:p>
        </w:tc>
        <w:tc>
          <w:tcPr>
            <w:tcW w:type="dxa" w:w="1728"/>
          </w:tcPr>
          <w:p>
            <w:r>
              <w:t>1,015</w:t>
            </w:r>
          </w:p>
        </w:tc>
        <w:tc>
          <w:tcPr>
            <w:tcW w:type="dxa" w:w="1728"/>
          </w:tcPr>
          <w:p>
            <w:r>
              <w:t>+35</w:t>
            </w:r>
          </w:p>
        </w:tc>
        <w:tc>
          <w:tcPr>
            <w:tcW w:type="dxa" w:w="1728"/>
          </w:tcPr>
          <w:p>
            <w:r>
              <w:t>+3.6%</w:t>
            </w:r>
          </w:p>
        </w:tc>
      </w:tr>
      <w:tr>
        <w:tc>
          <w:tcPr>
            <w:tcW w:type="dxa" w:w="1728"/>
          </w:tcPr>
          <w:p>
            <w:r>
              <w:t>Corporate Overhead</w:t>
            </w:r>
          </w:p>
        </w:tc>
        <w:tc>
          <w:tcPr>
            <w:tcW w:type="dxa" w:w="1728"/>
          </w:tcPr>
          <w:p>
            <w:r>
              <w:t>3,100</w:t>
            </w:r>
          </w:p>
        </w:tc>
        <w:tc>
          <w:tcPr>
            <w:tcW w:type="dxa" w:w="1728"/>
          </w:tcPr>
          <w:p>
            <w:r>
              <w:t>3,087</w:t>
            </w:r>
          </w:p>
        </w:tc>
        <w:tc>
          <w:tcPr>
            <w:tcW w:type="dxa" w:w="1728"/>
          </w:tcPr>
          <w:p>
            <w:r>
              <w:t>−13</w:t>
            </w:r>
          </w:p>
        </w:tc>
        <w:tc>
          <w:tcPr>
            <w:tcW w:type="dxa" w:w="1728"/>
          </w:tcPr>
          <w:p>
            <w:r>
              <w:t>−0.4%</w:t>
            </w:r>
          </w:p>
        </w:tc>
      </w:tr>
    </w:tbl>
    <w:p/>
    <w:p>
      <w:pPr>
        <w:pStyle w:val="Heading1"/>
      </w:pPr>
      <w:r>
        <w:t>3. Narrative Analysis</w:t>
      </w:r>
    </w:p>
    <w:p>
      <w:r>
        <w:t>Manufacturing OpEx overrun of 11.4% was driven primarily by expedited freight and overtime associated with the synthetic Q3 production disruption. R&amp;D Consulting exceeded plan by $210k due to three large engagements (visible in Expense_Transactions.csv as amounts &gt;$85k). These consulting spikes are intentional test anomalies for unusual expense detection.</w:t>
      </w:r>
    </w:p>
    <w:p>
      <w:pPr>
        <w:pStyle w:val="Heading1"/>
      </w:pPr>
      <w:r>
        <w:t>4. Recommended Actions (Synthetic)</w:t>
      </w:r>
    </w:p>
    <w:p>
      <w:pPr>
        <w:pStyle w:val="ListNumber"/>
      </w:pPr>
      <w:r>
        <w:t>1. Implement monthly variance alerts at 5% threshold for Manufacturing.</w:t>
      </w:r>
    </w:p>
    <w:p>
      <w:pPr>
        <w:pStyle w:val="ListNumber"/>
      </w:pPr>
      <w:r>
        <w:t>2. Require pre-approval for any consulting engagement &gt;$50k (already in Finance_Approval_Policy.md v3.2).</w:t>
      </w:r>
    </w:p>
    <w:p>
      <w:pPr>
        <w:pStyle w:val="ListNumber"/>
      </w:pPr>
      <w:r>
        <w:t>3. Retain 2024 data as baseline for year-over-year anomaly scoring.</w:t>
      </w:r>
    </w:p>
    <w:p>
      <w:pPr>
        <w:pStyle w:val="Heading1"/>
      </w:pPr>
      <w:r>
        <w:t>5. Source References</w:t>
      </w:r>
    </w:p>
    <w:p>
      <w:r>
        <w:t>• Expense_Transactions.csv</w:t>
      </w:r>
    </w:p>
    <w:p>
      <w:r>
        <w:t>• Quarterly_Financial_Statements.xlsx</w:t>
      </w:r>
    </w:p>
    <w:p>
      <w:r>
        <w:t>• Revenue_History_2010_2026.xlsx</w:t>
      </w:r>
    </w:p>
    <w:p>
      <w:r>
        <w:t>• Finance_Approval_Policy.md</w:t>
      </w:r>
    </w:p>
    <w:p/>
    <w:p>
      <w:r>
        <w:rPr>
          <w:i/>
        </w:rPr>
        <w:t>— End of Report — Synthetic data only. Not for operational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