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Operations Policy</w:t>
      </w:r>
    </w:p>
    <w:p>
      <w:r>
        <w:t>Meridian Synthetic Medical Center — Synthetic Policy Document</w:t>
      </w:r>
    </w:p>
    <w:p>
      <w:r>
        <w:t>Document ID: HC-POL-OPS-001 | Version 1.4 | Effective: 2025-01-01</w:t>
      </w:r>
    </w:p>
    <w:p>
      <w:pPr>
        <w:pStyle w:val="Heading1"/>
      </w:pPr>
      <w:r>
        <w:t>1. Purpose</w:t>
      </w:r>
    </w:p>
    <w:p>
      <w:r>
        <w:t>Define operational standards for appointment management, equipment maintenance, and patient flow monitoring within the synthetic test environment.</w:t>
      </w:r>
    </w:p>
    <w:p>
      <w:pPr>
        <w:pStyle w:val="Heading1"/>
      </w:pPr>
      <w:r>
        <w:t>2. Appointment Management</w:t>
      </w:r>
    </w:p>
    <w:p>
      <w:r>
        <w:t>• Target maximum wait for non-emergency ambulatory appointments: 30 minutes.</w:t>
      </w:r>
    </w:p>
    <w:p>
      <w:r>
        <w:t>• Emergency Department triage targets follow internal synthetic protocols only.</w:t>
      </w:r>
    </w:p>
    <w:p>
      <w:r>
        <w:t>• No-show follow-up contact must be attempted within 24 hours for scheduled specialty clinics.</w:t>
      </w:r>
    </w:p>
    <w:p>
      <w:pPr>
        <w:pStyle w:val="Heading1"/>
      </w:pPr>
      <w:r>
        <w:t>3. Equipment Maintenance</w:t>
      </w:r>
    </w:p>
    <w:p>
      <w:r>
        <w:t>• Critical devices (MRI, CT, ventilators) require documented preventive maintenance at manufacturer-recommended intervals.</w:t>
      </w:r>
    </w:p>
    <w:p>
      <w:r>
        <w:t>• Any asset past its Next_Due_Date must be escalated within 48 hours and appears on the daily overdue list.</w:t>
      </w:r>
    </w:p>
    <w:p>
      <w:r>
        <w:t>• Work orders are recorded in Equipment_Maintenance_Log.xlsx format for this prototype.</w:t>
      </w:r>
    </w:p>
    <w:p>
      <w:pPr>
        <w:pStyle w:val="Heading1"/>
      </w:pPr>
      <w:r>
        <w:t>4. Data Handling</w:t>
      </w:r>
    </w:p>
    <w:p>
      <w:r>
        <w:t>All patient and operational identifiers in this workspace are synthetic (PAT-SYN-*, etc.). Real protected health information is never to be introduced into the SYNAPTIX COMMAND test datasets.</w:t>
      </w:r>
    </w:p>
    <w:p/>
    <w:p>
      <w:r>
        <w:rPr>
          <w:i/>
        </w:rPr>
        <w:t>— Synthetic policy for prototype testing only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