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37CC0" w14:textId="77777777" w:rsidR="00D70E80" w:rsidRDefault="00000000">
      <w:pPr>
        <w:spacing w:before="30" w:after="35"/>
        <w:jc w:val="center"/>
      </w:pPr>
      <w:r>
        <w:rPr>
          <w:b/>
          <w:bCs/>
          <w:color w:val="1F4E78"/>
          <w:sz w:val="24"/>
          <w:szCs w:val="24"/>
        </w:rPr>
        <w:t>Smart Meal Analyzer &amp; Personalized Nutrition Recommendation</w:t>
      </w:r>
    </w:p>
    <w:p w14:paraId="456BCC8E" w14:textId="2B89D690" w:rsidR="00D70E80" w:rsidRDefault="00D70E80">
      <w:pPr>
        <w:spacing w:after="80"/>
      </w:pPr>
    </w:p>
    <w:tbl>
      <w:tblPr>
        <w:tblW w:w="14400" w:type="dxa"/>
        <w:tblInd w:w="7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4" w:space="0" w:color="D7E1E8"/>
          <w:insideV w:val="single" w:sz="4" w:space="0" w:color="D7E1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5000"/>
        <w:gridCol w:w="3000"/>
        <w:gridCol w:w="3700"/>
      </w:tblGrid>
      <w:tr w:rsidR="00D70E80" w14:paraId="08BD9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34E48" w14:textId="77777777" w:rsidR="00D70E80" w:rsidRDefault="00000000">
            <w:pPr>
              <w:spacing w:after="20"/>
              <w:jc w:val="center"/>
            </w:pPr>
            <w:r>
              <w:rPr>
                <w:b/>
                <w:bCs/>
                <w:sz w:val="15"/>
                <w:szCs w:val="15"/>
              </w:rPr>
              <w:t>Paper name / title</w:t>
            </w:r>
          </w:p>
        </w:tc>
        <w:tc>
          <w:tcPr>
            <w:tcW w:w="500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2F132C" w14:textId="77777777" w:rsidR="00D70E80" w:rsidRDefault="00000000">
            <w:pPr>
              <w:spacing w:after="20"/>
              <w:jc w:val="center"/>
            </w:pPr>
            <w:r>
              <w:rPr>
                <w:b/>
                <w:bCs/>
                <w:sz w:val="15"/>
                <w:szCs w:val="15"/>
              </w:rPr>
              <w:t>Key contributions / methodology</w:t>
            </w:r>
          </w:p>
        </w:tc>
        <w:tc>
          <w:tcPr>
            <w:tcW w:w="300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FF51DC" w14:textId="77777777" w:rsidR="00D70E80" w:rsidRDefault="00000000">
            <w:pPr>
              <w:spacing w:after="20"/>
              <w:jc w:val="center"/>
            </w:pPr>
            <w:r>
              <w:rPr>
                <w:b/>
                <w:bCs/>
                <w:sz w:val="15"/>
                <w:szCs w:val="15"/>
              </w:rPr>
              <w:t>Advantages</w:t>
            </w:r>
          </w:p>
        </w:tc>
        <w:tc>
          <w:tcPr>
            <w:tcW w:w="3700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4145B" w14:textId="77777777" w:rsidR="00D70E80" w:rsidRDefault="00000000">
            <w:pPr>
              <w:spacing w:after="20"/>
              <w:jc w:val="center"/>
            </w:pPr>
            <w:r>
              <w:rPr>
                <w:b/>
                <w:bCs/>
                <w:sz w:val="15"/>
                <w:szCs w:val="15"/>
              </w:rPr>
              <w:t>Disadvantages / limitations</w:t>
            </w:r>
          </w:p>
        </w:tc>
      </w:tr>
      <w:tr w:rsidR="00D70E80" w14:paraId="3F2F2D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BEACDD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[1] Applying Image-Based Food-Recognition Systems on Dietary Assessment: A Systematic Review</w:t>
            </w:r>
          </w:p>
          <w:p w14:paraId="69FA7AA4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10.1093/advances/nmac078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FD60C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Systematic review of an image-to-diet pipeline—capture, segmentation, feature extraction, classification (hand-crafted vs CNNs), volume estimation, and calorie/nutrient calculation—synthesizing 78 studies and 27 public datasets.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03567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Provides a system-level map of modules, datasets, metrics, and failure modes, including occlusion, mixed foods, lighting, leftovers, and cuisine limits.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9C1D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Heterogeneous datasets, cameras, metrics, and ground truths prevent fair pooled ranking; volume and nutrient estimation remain weakly evaluated. Search ended in 2021 and predates vision-language models.</w:t>
            </w:r>
          </w:p>
        </w:tc>
      </w:tr>
      <w:tr w:rsidR="00D70E80" w14:paraId="360A8B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1B37E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[2] PROTEIN AI Advisor: A Knowledge-Based Recommendation Framework Using Expert-Validated Meals for Healthy Diets</w:t>
            </w:r>
          </w:p>
          <w:p w14:paraId="2C4FACCF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10.3390/nu14204435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55858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Two-stage knowledge-based advisor: ontology and fuzzy rules reject unsafe or inappropriate meals, then quantitative optimization generates nutrient- and variety-constrained daily/weekly plans; rejection F1 was 0.995 and macronutrient plan accuracy 92.65%.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AE4F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Transparent, auditable, and explainable, with ontology/fuzzy-rule filtering for modeled conditions; no clinical safety validation.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E85AA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Reported accuracy reflects agreement with expert rules on synthetic profiles, not clinical outcomes or adherence; meal coverage is limited for some diets, athletes, complex allergies, and cultures.</w:t>
            </w:r>
          </w:p>
        </w:tc>
      </w:tr>
      <w:tr w:rsidR="00D70E80" w14:paraId="7303B7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993E73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[3] Relative Validation of an Artificial Intelligence–Enhanced, Image-Assisted Mobile App for Dietary Assessment in Adults: Randomized Crossover Study</w:t>
            </w:r>
          </w:p>
          <w:p w14:paraId="0AFD9686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10.2196/40449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8456DD" w14:textId="77777777" w:rsidR="00D70E8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Keenoa’s</w:t>
            </w:r>
            <w:proofErr w:type="spellEnd"/>
            <w:r>
              <w:rPr>
                <w:sz w:val="15"/>
                <w:szCs w:val="15"/>
              </w:rPr>
              <w:t xml:space="preserve"> pipeline combines food photographs, AI recognition, user portion confirmation, pictograms, barcode lookup, food-composition databases, and dietitian review; a randomized crossover relative-validity study included 136 adults in analyses, including 31 with diabetes.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05415E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Randomized crossover relative-validity and usability evidence, with support for a recognize-then-confirm workflow.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967E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Human corrections mean autonomous vision performance was not isolated; ASA24 was not a gold standard, individual agreement was limited, and the study was short.</w:t>
            </w:r>
          </w:p>
        </w:tc>
      </w:tr>
      <w:tr w:rsidR="00D70E80" w14:paraId="59DEDE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A748B6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[4] AI-Based Digital Image Dietary Assessment Methods Compared to Humans and Ground Truth: A Systematic Review</w:t>
            </w:r>
          </w:p>
          <w:p w14:paraId="5C9D701E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10.1080/07853890.2023.2273497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30E6F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Systematic review of fully automated image-assessment pipelines for food volume, energy, and nutrient estimation; screened 14,059 publications, included 52 studies, and compared estimates with human assessments and study-defined ground truth.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D8282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Directly evaluates end-to-end dietary measurement rather than classification alone and provides a strong validation agenda.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461F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Heterogeneity prevented meta-analysis; results often reflected favorable datasets, best-performing model versions, or database-derived rather than measured ground truth.</w:t>
            </w:r>
          </w:p>
        </w:tc>
      </w:tr>
      <w:tr w:rsidR="00D70E80" w14:paraId="384985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26C0B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 xml:space="preserve">[5] </w:t>
            </w:r>
            <w:proofErr w:type="spellStart"/>
            <w:r>
              <w:rPr>
                <w:b/>
                <w:bCs/>
                <w:sz w:val="15"/>
                <w:szCs w:val="15"/>
              </w:rPr>
              <w:t>OVFoodSeg</w:t>
            </w:r>
            <w:proofErr w:type="spellEnd"/>
            <w:r>
              <w:rPr>
                <w:b/>
                <w:bCs/>
                <w:sz w:val="15"/>
                <w:szCs w:val="15"/>
              </w:rPr>
              <w:t>: Elevating Open-Vocabulary Food Image Segmentation via Image-Informed Textual Representation</w:t>
            </w:r>
          </w:p>
          <w:p w14:paraId="1BC7B4DF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Official CVF accepted version; final IEEE record | DOI: 10.1109/CVPR52733.2024.00397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27E71" w14:textId="77777777" w:rsidR="00D70E8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OVFoodSeg</w:t>
            </w:r>
            <w:proofErr w:type="spellEnd"/>
            <w:r>
              <w:rPr>
                <w:sz w:val="15"/>
                <w:szCs w:val="15"/>
              </w:rPr>
              <w:t xml:space="preserve"> augments frozen CLIP with a </w:t>
            </w:r>
            <w:proofErr w:type="spellStart"/>
            <w:r>
              <w:rPr>
                <w:sz w:val="15"/>
                <w:szCs w:val="15"/>
              </w:rPr>
              <w:t>FoodLearner</w:t>
            </w:r>
            <w:proofErr w:type="spellEnd"/>
            <w:r>
              <w:rPr>
                <w:sz w:val="15"/>
                <w:szCs w:val="15"/>
              </w:rPr>
              <w:t xml:space="preserve"> and Image-Informed Text Encoder. </w:t>
            </w:r>
            <w:proofErr w:type="spellStart"/>
            <w:r>
              <w:rPr>
                <w:sz w:val="15"/>
                <w:szCs w:val="15"/>
              </w:rPr>
              <w:t>FoodLearner</w:t>
            </w:r>
            <w:proofErr w:type="spellEnd"/>
            <w:r>
              <w:rPr>
                <w:sz w:val="15"/>
                <w:szCs w:val="15"/>
              </w:rPr>
              <w:t xml:space="preserve"> is pretrained on Recipe-1M+ with ITC, ITM, and LM losses, then trained with SAN using image-informed text embeddings and CE/Dice losses for open-vocabulary segmentation.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698E10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Handles novel ingredients and appearance variation; authors report novel-class </w:t>
            </w:r>
            <w:proofErr w:type="spellStart"/>
            <w:r>
              <w:rPr>
                <w:sz w:val="15"/>
                <w:szCs w:val="15"/>
              </w:rPr>
              <w:t>mIoU</w:t>
            </w:r>
            <w:proofErr w:type="spellEnd"/>
            <w:r>
              <w:rPr>
                <w:sz w:val="15"/>
                <w:szCs w:val="15"/>
              </w:rPr>
              <w:t xml:space="preserve"> gains of 4.9% on FoodSeg103 and 3.5% on FoodSeg195.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7BF3E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It segments ingredients rather than estimating portions or nutrients; it also requires CLIP, BLIP-2 initialization, large-scale pretraining, and pixel annotations. FoodSeg195 is confidential, and prompt aggregation remains unresolved.</w:t>
            </w:r>
          </w:p>
        </w:tc>
      </w:tr>
      <w:tr w:rsidR="00D70E80" w14:paraId="1C4422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3B3D2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 xml:space="preserve">[6] The Nutritional Content of Meal Images in Free-Living Conditions—Automatic Assessment with </w:t>
            </w:r>
            <w:proofErr w:type="spellStart"/>
            <w:r>
              <w:rPr>
                <w:b/>
                <w:bCs/>
                <w:sz w:val="15"/>
                <w:szCs w:val="15"/>
              </w:rPr>
              <w:t>goFOOD</w:t>
            </w:r>
            <w:proofErr w:type="spellEnd"/>
            <w:r>
              <w:rPr>
                <w:b/>
                <w:bCs/>
                <w:sz w:val="15"/>
                <w:szCs w:val="15"/>
              </w:rPr>
              <w:t>™</w:t>
            </w:r>
          </w:p>
          <w:p w14:paraId="129671C8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10.3390/nu15173835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97CE1D" w14:textId="77777777" w:rsidR="00D70E8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goFOOD</w:t>
            </w:r>
            <w:proofErr w:type="spellEnd"/>
            <w:r>
              <w:rPr>
                <w:sz w:val="15"/>
                <w:szCs w:val="15"/>
              </w:rPr>
              <w:t xml:space="preserve">™ processes a single smartphone image through binary Mask R-CNN food segmentation, RegNetY-16GF recognition with </w:t>
            </w:r>
            <w:proofErr w:type="spellStart"/>
            <w:r>
              <w:rPr>
                <w:sz w:val="15"/>
                <w:szCs w:val="15"/>
              </w:rPr>
              <w:t>DivideMix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ZoeDepth</w:t>
            </w:r>
            <w:proofErr w:type="spellEnd"/>
            <w:r>
              <w:rPr>
                <w:sz w:val="15"/>
                <w:szCs w:val="15"/>
              </w:rPr>
              <w:t xml:space="preserve"> or stereo volume reconstruction, barcode scanning, and nutrient-database lookup; performance is compared with dietitian 24-hour recalls in free-living data.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AFAD0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Single-image input reduces burden; versus dietitian recalls, neural energy MAPE was 27.41% and binary segmentation </w:t>
            </w:r>
            <w:proofErr w:type="spellStart"/>
            <w:r>
              <w:rPr>
                <w:sz w:val="15"/>
                <w:szCs w:val="15"/>
              </w:rPr>
              <w:t>IoU</w:t>
            </w:r>
            <w:proofErr w:type="spellEnd"/>
            <w:r>
              <w:rPr>
                <w:sz w:val="15"/>
                <w:szCs w:val="15"/>
              </w:rPr>
              <w:t xml:space="preserve"> was 74%.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4D3F4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Errors remain substantial, especially for fat; reference-card omission, image quality, compliance, depth assumptions, and hidden oils/butter limit accuracy. The retrospective sample was small and narrow, with no direct volume ground truth.</w:t>
            </w:r>
          </w:p>
        </w:tc>
      </w:tr>
      <w:tr w:rsidR="00D70E80" w14:paraId="04C3F9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AB0C5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[7] An Automated Image-Based Dietary Assessment System for Mediterranean Foods</w:t>
            </w:r>
          </w:p>
          <w:p w14:paraId="6CBC7F48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10.1109/OJEMB.2023.3266135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BE7D1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The system combines the </w:t>
            </w:r>
            <w:proofErr w:type="spellStart"/>
            <w:r>
              <w:rPr>
                <w:sz w:val="15"/>
                <w:szCs w:val="15"/>
              </w:rPr>
              <w:t>MedGRFood</w:t>
            </w:r>
            <w:proofErr w:type="spellEnd"/>
            <w:r>
              <w:rPr>
                <w:sz w:val="15"/>
                <w:szCs w:val="15"/>
              </w:rPr>
              <w:t xml:space="preserve"> dataset, Food-101-pretrained EfficientNetB2 fine-tuned for Mediterranean-food classification, and two smartphone images with reference-card stereo reconstruction. It estimates macronutrients from reconstructed volume using USDA and Greek food-composition data.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8FDB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Food-specific pretraining improves classification, and stereo volume estimation enables automated nutrition assessment; reported </w:t>
            </w:r>
            <w:proofErr w:type="gramStart"/>
            <w:r>
              <w:rPr>
                <w:sz w:val="15"/>
                <w:szCs w:val="15"/>
              </w:rPr>
              <w:t>top-1</w:t>
            </w:r>
            <w:proofErr w:type="gramEnd"/>
            <w:r>
              <w:rPr>
                <w:sz w:val="15"/>
                <w:szCs w:val="15"/>
              </w:rPr>
              <w:t xml:space="preserve"> accuracy and volume MAPE were 83.8% and 10.5%, respectively.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1B1A12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Requires two controlled images, a calibrated camera, a reference card, and shallow dishes; end-to-end nutrient error was not reported, and cuisine-specific capture limits generalization.</w:t>
            </w:r>
          </w:p>
        </w:tc>
      </w:tr>
      <w:tr w:rsidR="00D70E80" w14:paraId="27D3F5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F29B4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 xml:space="preserve">[8] Personalized Flexible Meal Planning for Individuals </w:t>
            </w:r>
            <w:proofErr w:type="gramStart"/>
            <w:r>
              <w:rPr>
                <w:b/>
                <w:bCs/>
                <w:sz w:val="15"/>
                <w:szCs w:val="15"/>
              </w:rPr>
              <w:t>With</w:t>
            </w:r>
            <w:proofErr w:type="gramEnd"/>
            <w:r>
              <w:rPr>
                <w:b/>
                <w:bCs/>
                <w:sz w:val="15"/>
                <w:szCs w:val="15"/>
              </w:rPr>
              <w:t xml:space="preserve"> Diet-Related Health Concerns: System Design and Feasibility Validation Study</w:t>
            </w:r>
          </w:p>
          <w:p w14:paraId="2B2FC378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10.2196/46434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6AADC8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The mobile prototype combines an ontology-based food/nutrition knowledge graph, forward-chained semantic rules, fuzzy nutrient membership and </w:t>
            </w:r>
            <w:proofErr w:type="spellStart"/>
            <w:r>
              <w:rPr>
                <w:sz w:val="15"/>
                <w:szCs w:val="15"/>
              </w:rPr>
              <w:t>Prerow</w:t>
            </w:r>
            <w:proofErr w:type="spellEnd"/>
            <w:r>
              <w:rPr>
                <w:sz w:val="15"/>
                <w:szCs w:val="15"/>
              </w:rPr>
              <w:t xml:space="preserve"> Value optimization, heuristic meal search, and TOPSIS/AHP multicriteria selection to generate weekly plans.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9ADAB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Integrates clinical constraints with taste, culture, cost, and time; PV was 0.8 versus &lt;0.2 for user plans, and app plans had higher TOPSIS scores.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8550E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Plans do not dynamically adapt to changing health, preferences, or adherence; the small, homogeneous one-week study uses internal PV/TOPSIS scores and US-centric guidelines.</w:t>
            </w:r>
          </w:p>
        </w:tc>
      </w:tr>
      <w:tr w:rsidR="00D70E80" w14:paraId="0B0FCF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AE2F7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[9] Are Vision-Language Models Ready for Dietary Assessment? Exploring the Next Frontier in AI-Powered Food Image Recognition</w:t>
            </w:r>
          </w:p>
          <w:p w14:paraId="4A61D015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Official CVF accepted version; final IEEE record | DOI: 10.1109/CVPRW67362.2025.00047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891DE" w14:textId="77777777" w:rsidR="00D70E8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FoodNExTDB</w:t>
            </w:r>
            <w:proofErr w:type="spellEnd"/>
            <w:r>
              <w:rPr>
                <w:sz w:val="15"/>
                <w:szCs w:val="15"/>
              </w:rPr>
              <w:t xml:space="preserve"> supplies expert-labeled food images; GPT-4o, Gemini 2.0 Flash, Claude 3.5 Sonnet, Moondream-2B, DeepSeek Janus-Pro 1B, and LLaVA-v1.6-Mistral-7B receive structured prompts to identify products, categories, subcategories, and cooking styles. Evaluations cover recognition granularity, fine-grained foods, image complexity, and Expert-Weighted Recall.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0BC21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Closed-source models outperform open-source models; Gemini achieved 70.16% average EWR and 94.52% on single-product images.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E0697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Fine-grained cooking-style and similar-food recognition remains weak; multi-product images and background distractions reduce reliability. It evaluates recognition, not portion or nutrient estimation, and EWR is not clinical intake accuracy.</w:t>
            </w:r>
          </w:p>
        </w:tc>
      </w:tr>
      <w:tr w:rsidR="00D70E80" w14:paraId="06CD31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95A379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[10] Visual nutrition analysis: leveraging segmentation and regression for food nutrient estimation</w:t>
            </w:r>
          </w:p>
          <w:p w14:paraId="1FAD441B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10.3389/fnut.2024.1469878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1A8FE8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Manual masks supervise U-Net training/evaluation; U-Net segments original Nutrition5k images, and predicted foregrounds feed ResNet-101, Squeeze-and-Excitation, and fully connected regressors for mass, calories, fat, carbohydrates, and protein.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0F97C9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Segmentation suppresses background and avoids depth hardware; the model reports 17.06% mean PMAE and 97.69% U-Net Dice.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3EF86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Controlled cafeteria images, limited cuisines, uniform lighting, and no free-living validation may limit generalization; mixed or stacked foods are harder to segment, while binary segmentation lacks ingredient-level resolution.</w:t>
            </w:r>
          </w:p>
        </w:tc>
      </w:tr>
      <w:tr w:rsidR="00D70E80" w14:paraId="196ED5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30B20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lastRenderedPageBreak/>
              <w:t>[11] AI nutrition recommendation using a deep generative model and ChatGPT</w:t>
            </w:r>
          </w:p>
          <w:p w14:paraId="6EFE8BBC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10.1038/s41598-024-65438-x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43A59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A VAE encodes anthropometric and medical profiles into a latent space; a GRU generates six daily meal types for weekly plans. KLD structures the latent space, while meal-classification, energy, and macronutrient losses enforce EFSA/WHO guidance; an optimizer rescales portions and GPT-3.5 (updated September 11, 2023) supplies cuisine-equivalent meals.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340963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Guideline-aligned training and latent user clusters provide explainability and real-time generation; virtual-profile macronutrient accuracy averaged 86.99% with 0.00% mean caloric difference.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590703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Zero caloric difference is enforced by the portion optimizer; ChatGPT equivalents can be inaccurate, and complex needs, allergies, clinical outcomes, and real-user adherence remain unvalidated.</w:t>
            </w:r>
          </w:p>
        </w:tc>
      </w:tr>
      <w:tr w:rsidR="00D70E80" w14:paraId="48A8F8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15C0C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 xml:space="preserve">[12] </w:t>
            </w:r>
            <w:proofErr w:type="spellStart"/>
            <w:r>
              <w:rPr>
                <w:b/>
                <w:bCs/>
                <w:sz w:val="15"/>
                <w:szCs w:val="15"/>
              </w:rPr>
              <w:t>ChatDiet</w:t>
            </w:r>
            <w:proofErr w:type="spellEnd"/>
            <w:r>
              <w:rPr>
                <w:b/>
                <w:bCs/>
                <w:sz w:val="15"/>
                <w:szCs w:val="15"/>
              </w:rPr>
              <w:t>: Empowering personalized nutrition-oriented food recommender chatbots through an LLM-augmented framework</w:t>
            </w:r>
          </w:p>
          <w:p w14:paraId="056514E6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10.1016/j.smhl.2024.100465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F7B8C" w14:textId="77777777" w:rsidR="00D70E80" w:rsidRDefault="00000000">
            <w:pPr>
              <w:spacing w:after="0"/>
            </w:pPr>
            <w:proofErr w:type="spellStart"/>
            <w:r>
              <w:rPr>
                <w:sz w:val="15"/>
                <w:szCs w:val="15"/>
              </w:rPr>
              <w:t>ChatDiet</w:t>
            </w:r>
            <w:proofErr w:type="spellEnd"/>
            <w:r>
              <w:rPr>
                <w:sz w:val="15"/>
                <w:szCs w:val="15"/>
              </w:rPr>
              <w:t xml:space="preserve"> combines an orchestrator (BM25 retrieval, transcription, and prompting), a SAM/</w:t>
            </w:r>
            <w:proofErr w:type="spellStart"/>
            <w:r>
              <w:rPr>
                <w:sz w:val="15"/>
                <w:szCs w:val="15"/>
              </w:rPr>
              <w:t>DoWhy</w:t>
            </w:r>
            <w:proofErr w:type="spellEnd"/>
            <w:r>
              <w:rPr>
                <w:sz w:val="15"/>
                <w:szCs w:val="15"/>
              </w:rPr>
              <w:t xml:space="preserve"> causal personal model, a </w:t>
            </w:r>
            <w:proofErr w:type="spellStart"/>
            <w:r>
              <w:rPr>
                <w:sz w:val="15"/>
                <w:szCs w:val="15"/>
              </w:rPr>
              <w:t>Cronometer</w:t>
            </w:r>
            <w:proofErr w:type="spellEnd"/>
            <w:r>
              <w:rPr>
                <w:sz w:val="15"/>
                <w:szCs w:val="15"/>
              </w:rPr>
              <w:t xml:space="preserve"> population nutrition model, and GPT-3.5-turbo to generate constrained, explainable food recommendations from longitudinal and synthetic data.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9361FB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Integrates individual causal effects with population knowledge, producing explainable, personalized, interactive responses; reported recommendation effectiveness was 92%.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2B5E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Evidence is largely one N-of-1 participant plus synthetic data with limited device variables; causal inference is assumption-sensitive, and LLM outputs can contradict supplied effects. No comprehensive benchmark exists.</w:t>
            </w:r>
          </w:p>
        </w:tc>
      </w:tr>
      <w:tr w:rsidR="00D70E80" w14:paraId="49DEAE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6AADB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[13] Delighting Palates with AI: Reinforcement Learning’s Triumph in Crafting Personalized Meal Plans with High User Acceptance</w:t>
            </w:r>
          </w:p>
          <w:p w14:paraId="38E544CA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10.3390/nu16030346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CB9D2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Collaborative filtering builds user and meal embeddings; a reinforcement-learning agent selects meals using nutrition, preference, and rating rewards, with AHP/TOPSIS for taste, cost, and convenience. Reported acceptance was 4.5/5, matching collaborative filtering alone.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18F39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Models taste and feedback, supports adaptation, and targets adherence rather than nutrient compliance alone.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A040B2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Simulated, retrospective ratings do not establish real adherence; cold start, allergy safety, and clinical portion constraints remain unresolved.</w:t>
            </w:r>
          </w:p>
        </w:tc>
      </w:tr>
      <w:tr w:rsidR="00D70E80" w14:paraId="5CBADA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B7D24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[14] DietAI24 as a framework for comprehensive nutrition estimation using multimodal large language models</w:t>
            </w:r>
          </w:p>
          <w:p w14:paraId="2B2CC37E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10.1038/s43856-025-01159-0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4848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GPT-4 Vision-Preview (GPT-4) and GPT-4 1106-Preview (GPT-4 Turbo) use a vision model to describe images and a GPT model to expand retrieval queries. </w:t>
            </w:r>
            <w:proofErr w:type="spellStart"/>
            <w:r>
              <w:rPr>
                <w:sz w:val="15"/>
                <w:szCs w:val="15"/>
              </w:rPr>
              <w:t>LangChain</w:t>
            </w:r>
            <w:proofErr w:type="spellEnd"/>
            <w:r>
              <w:rPr>
                <w:sz w:val="15"/>
                <w:szCs w:val="15"/>
              </w:rPr>
              <w:t xml:space="preserve"> retrieves FNDDS records; portions map to grams and nutrient vectors. Per-dish energy MAE was 47.7 kcal (ASA24) and 68.2 kcal (Nutrition5k).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CFB0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Grounds outputs in standardized food data, reduces reliance on LLM memory, and permits database replacement.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E6CFB3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Quantitative ground truth covers only selected outputs; U.S.-dominated data and closed OpenAI models limit generalizability.</w:t>
            </w:r>
          </w:p>
        </w:tc>
      </w:tr>
      <w:tr w:rsidR="00D70E80" w14:paraId="238BF9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F0282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[15] An Evaluation of ChatGPT for Nutrient Content Estimation from Meal Photographs</w:t>
            </w:r>
          </w:p>
          <w:p w14:paraId="62EFD9F1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10.3390/nu17040607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88CC8B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ChatGPT-4, without fine-tuning or an external food database, identified foods, estimated weights, and reported nutrients from weighed meal photographs. Food recognition reached 88.6% F1, while mean absolute percentage difference in meal weight was 27.8% ± 18.5%.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BA9B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Objective weighed meals, varied portions, broad nutrient testing, and dietitian comparison strengthen the evaluation.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4BAF2B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Small, culturally narrow, </w:t>
            </w:r>
            <w:proofErr w:type="gramStart"/>
            <w:r>
              <w:rPr>
                <w:sz w:val="15"/>
                <w:szCs w:val="15"/>
              </w:rPr>
              <w:t>single-model</w:t>
            </w:r>
            <w:proofErr w:type="gramEnd"/>
            <w:r>
              <w:rPr>
                <w:sz w:val="15"/>
                <w:szCs w:val="15"/>
              </w:rPr>
              <w:t>/prompt evaluation lacks database grounding; nonsignificant mean differences do not establish agreement.</w:t>
            </w:r>
          </w:p>
        </w:tc>
      </w:tr>
      <w:tr w:rsidR="00D70E80" w14:paraId="57491A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011713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[16] Decomposing Food Images for Better Nutrition Analysis: A Nutritionist-Inspired Two-Step Multimodal LLM Approach</w:t>
            </w:r>
          </w:p>
          <w:p w14:paraId="60DF2365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Official CVF accepted version; final IEEE record | DOI: 10.1109/CVPRW67362.2025.00053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5DBE51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An off-the-shelf multimodal LLM first decomposes dishes into ingredients, portions, and cooking details, then converts that structured interpretation into calories and macronutrients. On Nutrition320, GPT-4o reached 78.49 kcal error, 12.11% better than direct querying; </w:t>
            </w:r>
            <w:proofErr w:type="spellStart"/>
            <w:r>
              <w:rPr>
                <w:sz w:val="15"/>
                <w:szCs w:val="15"/>
              </w:rPr>
              <w:t>Gindee</w:t>
            </w:r>
            <w:proofErr w:type="spellEnd"/>
            <w:r>
              <w:rPr>
                <w:sz w:val="15"/>
                <w:szCs w:val="15"/>
              </w:rPr>
              <w:t xml:space="preserve"> results varied across models.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B277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Low training burden, interpretable intermediate outputs, and a practical nutritionist-like prompt pipeline.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57AE8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Proprietary MLLMs, workshop evidence, no clinical validation, and inability to infer hidden ingredients or exact cooking oil.</w:t>
            </w:r>
          </w:p>
        </w:tc>
      </w:tr>
      <w:tr w:rsidR="00D70E80" w14:paraId="0DF2C2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8BDDE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[17] MOPI-HFRS: A Multi-Objective Personalized Health-Aware Food Recommendation System With LLM-Enhanced Interpretation</w:t>
            </w:r>
          </w:p>
          <w:p w14:paraId="5AE8AC70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Official NSF PAR copy; ACM KDD publication | DOI: 10.1145/3690624.3709382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C26C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Signed graph learning incorporates health information; Pareto optimization balances preference, healthiness, and nutritional diversity, while an LLM explains graph context. </w:t>
            </w:r>
            <w:proofErr w:type="spellStart"/>
            <w:r>
              <w:rPr>
                <w:sz w:val="15"/>
                <w:szCs w:val="15"/>
              </w:rPr>
              <w:t>Nutrition_all</w:t>
            </w:r>
            <w:proofErr w:type="spellEnd"/>
            <w:r>
              <w:rPr>
                <w:sz w:val="15"/>
                <w:szCs w:val="15"/>
              </w:rPr>
              <w:t xml:space="preserve"> has 13,282 users and 488,223 interactions; </w:t>
            </w:r>
            <w:proofErr w:type="spellStart"/>
            <w:r>
              <w:rPr>
                <w:sz w:val="15"/>
                <w:szCs w:val="15"/>
              </w:rPr>
              <w:t>Nutrition_macro_only</w:t>
            </w:r>
            <w:proofErr w:type="spellEnd"/>
            <w:r>
              <w:rPr>
                <w:sz w:val="15"/>
                <w:szCs w:val="15"/>
              </w:rPr>
              <w:t xml:space="preserve"> has 8,170 users and 314,224 interactions. MOPI-HFRS outperformed tested baselines.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8247D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Integrates medical information, makes multi-objective trade-offs explicit, and links ranking with explanations.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FCAFD8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Healthiness uses fixed nutrient thresholds; explanation quality relies on BERT/BLEU similarity, not clinical factuality. One data source, unclear user-disjoint splitting, and no prospective or clinical validation.</w:t>
            </w:r>
          </w:p>
        </w:tc>
      </w:tr>
      <w:tr w:rsidR="00D70E80" w14:paraId="214840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1E1681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[18] Development of an Intelligent Food Nutrition Recognition and Nutrient Intake Assessment System in Hospital Settings</w:t>
            </w:r>
          </w:p>
          <w:p w14:paraId="5E521BB1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10.3389/fnut.2026.1637034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FD446C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Hospital pipeline uses standardized meal boxes, depth imaging, marker-guided SAM segmentation, SE_ResNet50_vd classification, 3D volume reconstruction, electronic weighing, pre/post residual intake estimation, and Chinese composition databases. Recognition reached 99.2%; 39% exceeded a 90% estimated/measured volume ratio.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36A50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Controlled hospital workflow, physically grounded portions, multiple-dish segmentation, and auditable nutrient composition data.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659D17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Closed menus, depth hardware, and pre-meal validation limit general use. Leftovers, segmentation metrics, end-to-end nutrient error, and patient outcomes were not validated; volume summaries are internally inconsistent.</w:t>
            </w:r>
          </w:p>
        </w:tc>
      </w:tr>
      <w:tr w:rsidR="00D70E80" w14:paraId="011E90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EE33E1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>[19] Model Architecture Dominates Nutritional Estimation Accuracy in Vision-Language Systems</w:t>
            </w:r>
          </w:p>
          <w:p w14:paraId="2C4942C3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10.1038/s41598-026-58755-w</w:t>
            </w:r>
          </w:p>
        </w:tc>
        <w:tc>
          <w:tcPr>
            <w:tcW w:w="5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30EA1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All 40 VLMs underwent initial single-image seed/temperature screening; nine were then tested across four image configurations and seven prompts. Architecture explained 99.6% of variance; GPT-5-chat </w:t>
            </w:r>
            <w:proofErr w:type="spellStart"/>
            <w:r>
              <w:rPr>
                <w:sz w:val="15"/>
                <w:szCs w:val="15"/>
              </w:rPr>
              <w:t>sMAPE</w:t>
            </w:r>
            <w:proofErr w:type="spellEnd"/>
            <w:r>
              <w:rPr>
                <w:sz w:val="15"/>
                <w:szCs w:val="15"/>
              </w:rPr>
              <w:t xml:space="preserve"> was 45.6% on the single-image screen, while nine-model multi-image means ranged from 49.8% to 51.5%.</w:t>
            </w:r>
          </w:p>
        </w:tc>
        <w:tc>
          <w:tcPr>
            <w:tcW w:w="30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A4FD85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Broad, repeated model comparison and corrected statistics provide useful negative evidence against unnecessary multi-angle capture or prompt complexity.</w:t>
            </w:r>
          </w:p>
        </w:tc>
        <w:tc>
          <w:tcPr>
            <w:tcW w:w="3700" w:type="dxa"/>
            <w:shd w:val="clear" w:color="auto" w:fill="F8FBF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EB8A6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 xml:space="preserve">Prediction counts do not reconcile; samples are small, architecture/provider are confounded, and GPT-5-chat still reports 45.6% </w:t>
            </w:r>
            <w:proofErr w:type="spellStart"/>
            <w:r>
              <w:rPr>
                <w:sz w:val="15"/>
                <w:szCs w:val="15"/>
              </w:rPr>
              <w:t>sMAPE</w:t>
            </w:r>
            <w:proofErr w:type="spellEnd"/>
            <w:r>
              <w:rPr>
                <w:sz w:val="15"/>
                <w:szCs w:val="15"/>
              </w:rPr>
              <w:t xml:space="preserve"> on the single-image screen.</w:t>
            </w:r>
          </w:p>
        </w:tc>
      </w:tr>
      <w:tr w:rsidR="00D70E80" w14:paraId="7424E6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18A5A" w14:textId="77777777" w:rsidR="00D70E80" w:rsidRDefault="00000000">
            <w:pPr>
              <w:spacing w:after="25"/>
            </w:pPr>
            <w:r>
              <w:rPr>
                <w:b/>
                <w:bCs/>
                <w:sz w:val="15"/>
                <w:szCs w:val="15"/>
              </w:rPr>
              <w:t xml:space="preserve">[20] Limited Validity of an AI-Powered App for Dietary Assessment in Females </w:t>
            </w:r>
            <w:proofErr w:type="gramStart"/>
            <w:r>
              <w:rPr>
                <w:b/>
                <w:bCs/>
                <w:sz w:val="15"/>
                <w:szCs w:val="15"/>
              </w:rPr>
              <w:t>With</w:t>
            </w:r>
            <w:proofErr w:type="gramEnd"/>
            <w:r>
              <w:rPr>
                <w:b/>
                <w:bCs/>
                <w:sz w:val="15"/>
                <w:szCs w:val="15"/>
              </w:rPr>
              <w:t xml:space="preserve"> Obesity</w:t>
            </w:r>
          </w:p>
          <w:p w14:paraId="467545A9" w14:textId="77777777" w:rsidR="00D70E80" w:rsidRDefault="00000000">
            <w:pPr>
              <w:spacing w:after="0"/>
            </w:pPr>
            <w:r>
              <w:rPr>
                <w:i/>
                <w:iCs/>
                <w:color w:val="555555"/>
                <w:sz w:val="11"/>
                <w:szCs w:val="11"/>
              </w:rPr>
              <w:t>Final publisher version of record | DOI: 10.1038/s41746-026-02536-2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E34C2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SNAQ combines image/depth sensing with a food database. Twenty women with obesity completed seven free-living days; estimates were compared with doubly labelled water and 24-hour recall. Energy was underestimated by 25%, and within-person reliability was ICC = 0.00.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3AB5DF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Physiological reference, clinically important population, multidimensional validity analysis, and transparent disclosure of developer interest.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5FD2C0" w14:textId="77777777" w:rsidR="00D70E80" w:rsidRDefault="00000000">
            <w:pPr>
              <w:spacing w:after="0"/>
            </w:pPr>
            <w:r>
              <w:rPr>
                <w:sz w:val="15"/>
                <w:szCs w:val="15"/>
              </w:rPr>
              <w:t>Small female-only sample, proprietary algorithm, incomplete adherence monitoring, and energy expenditure as an intake proxy under energy-balance assumptions.</w:t>
            </w:r>
          </w:p>
        </w:tc>
      </w:tr>
    </w:tbl>
    <w:p w14:paraId="469B149C" w14:textId="2B1295BD" w:rsidR="00D70E80" w:rsidRDefault="00D70E80">
      <w:pPr>
        <w:spacing w:before="70" w:after="0"/>
      </w:pPr>
    </w:p>
    <w:sectPr w:rsidR="00D70E80">
      <w:pgSz w:w="15840" w:h="12240" w:orient="landscape"/>
      <w:pgMar w:top="650" w:right="650" w:bottom="650" w:left="6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E80"/>
    <w:rsid w:val="0032599C"/>
    <w:rsid w:val="007F3B5F"/>
    <w:rsid w:val="00D7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E9FD4"/>
  <w15:docId w15:val="{D5E4157B-FC73-6346-9662-3AD56778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16"/>
        <w:szCs w:val="16"/>
        <w:lang w:val="en-US" w:eastAsia="en-US" w:bidi="ar-SA"/>
      </w:rPr>
    </w:rPrDefault>
    <w:pPrDefault>
      <w:pPr>
        <w:spacing w:after="45" w:line="20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2371</Words>
  <Characters>13521</Characters>
  <Application>Microsoft Office Word</Application>
  <DocSecurity>0</DocSecurity>
  <Lines>112</Lines>
  <Paragraphs>31</Paragraphs>
  <ScaleCrop>false</ScaleCrop>
  <Company>OpenCode</Company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Meal Analyzer Paper Analysis Table</dc:title>
  <dc:subject>Concise review of 20 peer-reviewed papers</dc:subject>
  <dc:creator>OpenCode</dc:creator>
  <cp:lastModifiedBy>HARSHA VARDHAN BK</cp:lastModifiedBy>
  <cp:revision>2</cp:revision>
  <dcterms:created xsi:type="dcterms:W3CDTF">2026-09-24T09:17:00Z</dcterms:created>
  <dcterms:modified xsi:type="dcterms:W3CDTF">2026-09-24T17:57:00Z</dcterms:modified>
</cp:coreProperties>
</file>