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276" w:lineRule="auto"/>
      </w:pPr>
      <w:r>
        <w:rPr>
          <w:rFonts w:ascii="Times New Roman" w:hAnsi="Times New Roman"/>
          <w:b/>
          <w:color w:val="1E3A8A"/>
          <w:sz w:val="32"/>
        </w:rPr>
        <w:t>AI INTERVIEW COACH</w:t>
      </w:r>
    </w:p>
    <w:p>
      <w:pPr>
        <w:spacing w:before="280" w:after="120" w:line="276" w:lineRule="auto"/>
      </w:pPr>
      <w:r>
        <w:rPr>
          <w:rFonts w:ascii="Times New Roman" w:hAnsi="Times New Roman"/>
          <w:b/>
          <w:color w:val="1E3A8A"/>
          <w:sz w:val="26"/>
        </w:rPr>
        <w:t>Companion Appendix &amp; Technical Implementation Inventory</w:t>
      </w:r>
    </w:p>
    <w:p>
      <w:pPr>
        <w:spacing w:before="0" w:after="120" w:line="276" w:lineRule="auto"/>
      </w:pPr>
      <w:r>
        <w:rPr>
          <w:rFonts w:ascii="Times New Roman" w:hAnsi="Times New Roman"/>
          <w:i w:val="0"/>
          <w:color w:val="1F2937"/>
          <w:sz w:val="22"/>
        </w:rPr>
        <w:t>Department of Computer Science and Engineering, K. Ramakrishnan College of Technology (Autonomous)</w:t>
      </w:r>
    </w:p>
    <w:p>
      <w:pPr>
        <w:spacing w:before="0" w:after="120" w:line="276" w:lineRule="auto"/>
      </w:pPr>
      <w:r>
        <w:rPr>
          <w:rFonts w:ascii="Times New Roman" w:hAnsi="Times New Roman"/>
          <w:i w:val="0"/>
          <w:color w:val="1F2937"/>
          <w:sz w:val="22"/>
        </w:rPr>
        <w:t>Academic Year: 2026 | Course: CSB1303 – Object Oriented Analysis and Design</w:t>
      </w:r>
    </w:p>
    <w:p>
      <w:pPr>
        <w:spacing w:before="280" w:after="120" w:line="276" w:lineRule="auto"/>
      </w:pPr>
      <w:r>
        <w:rPr>
          <w:rFonts w:ascii="Times New Roman" w:hAnsi="Times New Roman"/>
          <w:b/>
          <w:color w:val="1E3A8A"/>
          <w:sz w:val="26"/>
        </w:rPr>
        <w:t>1. Source Code Inventory</w:t>
      </w:r>
    </w:p>
    <w:p>
      <w:pPr>
        <w:spacing w:before="0" w:after="120" w:line="276" w:lineRule="auto"/>
      </w:pPr>
      <w:r>
        <w:rPr>
          <w:rFonts w:ascii="Times New Roman" w:hAnsi="Times New Roman"/>
          <w:i w:val="0"/>
          <w:color w:val="1F2937"/>
          <w:sz w:val="22"/>
        </w:rPr>
        <w:t>The table below details all major software files, lines of code, and architectural responsibilities.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3A8A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SUBSYSTEM</w:t>
            </w:r>
          </w:p>
        </w:tc>
        <w:tc>
          <w:tcPr>
            <w:tcW w:type="dxa" w:w="2592"/>
            <w:shd w:val="clear" w:color="auto" w:fill="1E3A8A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MODULE / FILE</w:t>
            </w:r>
          </w:p>
        </w:tc>
        <w:tc>
          <w:tcPr>
            <w:tcW w:type="dxa" w:w="864"/>
            <w:shd w:val="clear" w:color="auto" w:fill="1E3A8A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LOC</w:t>
            </w:r>
          </w:p>
        </w:tc>
        <w:tc>
          <w:tcPr>
            <w:tcW w:type="dxa" w:w="3312"/>
            <w:shd w:val="clear" w:color="auto" w:fill="1E3A8A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RESPONSIBILITY &amp; INVARIANTS</w:t>
            </w:r>
          </w:p>
        </w:tc>
        <w:tc>
          <w:tcPr>
            <w:tcW w:type="dxa" w:w="1296"/>
            <w:shd w:val="clear" w:color="auto" w:fill="1E3A8A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Core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app/main.py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134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Application factory, CORS, 503 db degradation handler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Core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app/core/config.py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118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Typed Pydantic settings loading, SecretStr API keys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Core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app/core/security.py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76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scrypt password hashing (N=16384), session tokens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DB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app/db/base.py &amp; session.py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64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Declarative Base with naming conventions, engine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Models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app/models/candidate.py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52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Candidate entity, scrypt hash, failed login counter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Models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app/models/auth_session.py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38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SHA-256 session token hash, 7-day expiry check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Models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app/models/resume.py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148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Resume &amp; CandidateFact entities, provenance check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Models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app/models/interview_session.py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162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InterviewSession, plan JSONB, finish_reason check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Models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app/models/interview_question.py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98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InterviewQuestion entity, 10k char limit, eval status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Models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app/models/answer_evaluation.py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112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AnswerEvaluation &amp; Criteria, 1-5 score bounds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Models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app/models/expression.py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65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QuestionExpressionObservation, 9 categorical counts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Models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app/models/provider_call.py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54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ProviderCall operational audit; zero candidate IDs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Models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app/models/usage_counter.py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42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UsageCounter rate-limiting entity, UTC windows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AI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app/ai/gateway.py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266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ModelGateway: routing, 20s timeout, retry, fallback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AI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app/ai/providers.py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234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Adapters for Gemini, Groq, NVIDIA over HTTPX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AI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app/ai/profile_agent.py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145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ProfileAgent: prompt boundary, verbatim grounding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AI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app/ai/planner_agent.py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186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PlannerAgent: closed-set instructions, plan schema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AI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app/ai/interviewer_agent.py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210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InterviewerAgent: follow-up wording, anchor rules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AI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app/ai/evaluator_agent.py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240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EvaluatorAgent: rubric scoring, quote evidence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Services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app/services/interview_state_machine.py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257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Finite State Machine: transition table, row locks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Services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app/services/interviewer.py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385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Turn decision engine, 60s deadline guard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Services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app/services/evaluator.py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340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Rubric scoring, exact substring quote check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Services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app/services/report.py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290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Deterministic report compiler, zero aggregated scores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Services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app/services/resume_extractor.py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470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Pure Python pypdf text extraction, verbatim parser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Services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app/services/retry.py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185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Retry session generator, copies to_practise topics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Services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app/services/limits.py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175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PostgreSQL atomic counter upsert, rate limiter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Backend Services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app/services/manual_facts.py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130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Manual facts, 100-fact cap, duplicate check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Frontend App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frontend/app/page.tsx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220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Landing page, auth guard, profile card, resume upload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Frontend App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frontend/app/interview/page.tsx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340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Interview coordinator, session recovery prompt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Frontend Components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frontend/components/interview/*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1450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Flow, Setup, Turn, CameraPanel, VoicePanel, Report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Frontend Lib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frontend/lib/api.ts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180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fetch wrapper, credentials: include, CSRF Origin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Frontend Lib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frontend/lib/exportDoc.ts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260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HTML document generator for plans/reports with CSP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Frontend Lib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frontend/lib/expressions.ts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170</w:t>
            </w:r>
          </w:p>
        </w:tc>
        <w:tc>
          <w:tcPr>
            <w:tcW w:type="dxa" w:w="3312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Face expression classification, pacing rules</w:t>
            </w:r>
          </w:p>
        </w:tc>
        <w:tc>
          <w:tcPr>
            <w:tcW w:type="dxa" w:w="1296"/>
            <w:shd w:val="clear" w:color="auto" w:fill="F8FAFC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Frontend Lib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frontend/lib/voice.ts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195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Speech chunking, voice selection, speech metrics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color w:val="1F2937"/>
                <w:sz w:val="19"/>
              </w:rPr>
              <w:t>Implemented</w:t>
            </w:r>
          </w:p>
        </w:tc>
      </w:tr>
    </w:tbl>
    <w:p>
      <w:pPr>
        <w:spacing w:before="0" w:after="160" w:line="276" w:lineRule="auto"/>
      </w:pPr>
    </w:p>
    <w:p>
      <w:pPr>
        <w:spacing w:before="280" w:after="120" w:line="276" w:lineRule="auto"/>
      </w:pPr>
      <w:r>
        <w:rPr>
          <w:rFonts w:ascii="Times New Roman" w:hAnsi="Times New Roman"/>
          <w:b/>
          <w:color w:val="1E3A8A"/>
          <w:sz w:val="26"/>
        </w:rPr>
        <w:t>2. Architecture &amp; Design Invariant Summary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color w:val="1F2937"/>
          <w:sz w:val="22"/>
        </w:rPr>
        <w:t>LLM Proposes, Orchestrator Decides, Validator Verifies, Database Stores: External models have zero authority over state.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color w:val="1F2937"/>
          <w:sz w:val="22"/>
        </w:rPr>
        <w:t>Untrusted Input Isolation: Resumes and answers are treated as untrusted text; prompt injection attempts remain inert.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color w:val="1F2937"/>
          <w:sz w:val="22"/>
        </w:rPr>
        <w:t>Verbatim Fact Provenance: Extracted facts are verbatim substrings of resume lines; unapproved facts are never used.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color w:val="1F2937"/>
          <w:sz w:val="22"/>
        </w:rPr>
        <w:t>Deterministic Pacing &amp; Time Limits: If less than 60s remain before a turn, the interview ends with TIME_LIMIT.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color w:val="1F2937"/>
          <w:sz w:val="22"/>
        </w:rPr>
        <w:t>Formative, Non-Aggregated Feedback: Rubric evaluations mandate exact substring quotes; zero combined/average scores.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color w:val="1F2937"/>
          <w:sz w:val="22"/>
        </w:rPr>
        <w:t>Privacy-by-Design Biometrics: Expression signals are processed client-side via WebGL; zero video frames leave device.</w:t>
      </w:r>
    </w:p>
    <w:p>
      <w:pPr>
        <w:spacing w:before="280" w:after="120" w:line="276" w:lineRule="auto"/>
      </w:pPr>
      <w:r>
        <w:rPr>
          <w:rFonts w:ascii="Times New Roman" w:hAnsi="Times New Roman"/>
          <w:b/>
          <w:color w:val="1E3A8A"/>
          <w:sz w:val="26"/>
        </w:rPr>
        <w:t>3. Automated Test Evidence Summary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color w:val="1F2937"/>
          <w:sz w:val="22"/>
        </w:rPr>
        <w:t>Backend Pytest Suite: 4,693 automated tests across 26 modules (100% PASS against PostgreSQL test DB).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color w:val="1F2937"/>
          <w:sz w:val="22"/>
        </w:rPr>
        <w:t>Frontend Node Unit Tests: 45 automated TypeScript tests in frontend/lib/*.test.ts (100% PASS in 417 ms).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color w:val="1F2937"/>
          <w:sz w:val="22"/>
        </w:rPr>
        <w:t>Browser E2E Journey Suite: 37 browser journey checks via headless Edge over CDP (100% PASS).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color w:val="1F2937"/>
          <w:sz w:val="22"/>
        </w:rPr>
        <w:t>Static Type Checks &amp; Lint: tsc --noEmit and ESLint reported zero errors.</w:t>
      </w:r>
    </w:p>
    <w:p>
      <w:pPr>
        <w:spacing w:before="280" w:after="120" w:line="276" w:lineRule="auto"/>
      </w:pPr>
      <w:r>
        <w:rPr>
          <w:rFonts w:ascii="Times New Roman" w:hAnsi="Times New Roman"/>
          <w:b/>
          <w:color w:val="1E3A8A"/>
          <w:sz w:val="26"/>
        </w:rPr>
        <w:t>4. Known Limitations &amp; Constraints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color w:val="1F2937"/>
          <w:sz w:val="22"/>
        </w:rPr>
        <w:t>Production Flag: In production mode, application routes are disabled by design, serving only /api/health.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color w:val="1F2937"/>
          <w:sz w:val="22"/>
        </w:rPr>
        <w:t>Account Recovery: Password reset and email verification require external transactional email provider integration.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color w:val="1F2937"/>
          <w:sz w:val="22"/>
        </w:rPr>
        <w:t>Linguistic Scope: Heuristic regexes and heading detection rules are optimized for English-language technical resumes.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color w:val="1F2937"/>
          <w:sz w:val="22"/>
        </w:rPr>
        <w:t>Scanned Documents: PDF parser requires text-based PDFs; scanned documents require future asynchronous OCR.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