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COMPANIES FOLLOWING E-WASTE RULES IN INDIA</w:t>
      </w:r>
    </w:p>
    <w:p>
      <w:pPr>
        <w:jc w:val="center"/>
      </w:pPr>
      <w:r>
        <w:rPr>
          <w:b/>
          <w:sz w:val="28"/>
        </w:rPr>
        <w:t>Compliance Review of Five Electronics Companies</w:t>
      </w:r>
    </w:p>
    <w:p>
      <w:pPr>
        <w:jc w:val="center"/>
      </w:pPr>
      <w:r>
        <w:rPr>
          <w:b/>
          <w:sz w:val="20"/>
        </w:rPr>
        <w:t>Based on the E-Waste (Management) Rules, 2022 and public company disclosures</w:t>
      </w:r>
    </w:p>
    <w:p>
      <w:pPr>
        <w:pStyle w:val="Heading1"/>
      </w:pPr>
      <w:r>
        <w:t>1. Objective</w:t>
      </w:r>
    </w:p>
    <w:p>
      <w:r>
        <w:t>This report reviews five electronics companies from the reference list—Dixon Technologies, Kaynes Technology, Syrma SGS Technology, Sahasra Electronics and VVDN Technologies—to assess how their publicly disclosed e-waste practices correspond with India's E-Waste (Management) Rules, 2022.</w:t>
      </w:r>
    </w:p>
    <w:p>
      <w:r>
        <w:t>The review covers registration, EPR, collection/channelization, authorized recyclers, records/reporting and environmental management. A 'gap' means that compliance was not clearly demonstrated in the public material reviewed; it is not treated as a proven legal violation.</w:t>
      </w:r>
    </w:p>
    <w:p>
      <w:pPr>
        <w:pStyle w:val="Heading1"/>
      </w:pPr>
      <w:r>
        <w:t>2. Main Rules Used for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Rule / area</w:t>
            </w:r>
          </w:p>
        </w:tc>
        <w:tc>
          <w:tcPr>
            <w:tcW w:type="dxa" w:w="5112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Rule 4 – Registration</w:t>
            </w:r>
          </w:p>
        </w:tc>
        <w:tc>
          <w:tcPr>
            <w:tcW w:type="dxa" w:w="5112"/>
          </w:tcPr>
          <w:p>
            <w:r>
              <w:t>Manufacturer, Producer, Refurbisher and Recycler must register on the CPCB portal and must not operate/deal with unregistered entities.</w:t>
            </w:r>
          </w:p>
        </w:tc>
      </w:tr>
      <w:tr>
        <w:tc>
          <w:tcPr>
            <w:tcW w:type="dxa" w:w="5112"/>
          </w:tcPr>
          <w:p>
            <w:r>
              <w:t>Rule 5 – Manufacturer</w:t>
            </w:r>
          </w:p>
        </w:tc>
        <w:tc>
          <w:tcPr>
            <w:tcW w:type="dxa" w:w="5112"/>
          </w:tcPr>
          <w:p>
            <w:r>
              <w:t>Collect e-waste generated during manufacturing and ensure proper recycling/disposal.</w:t>
            </w:r>
          </w:p>
        </w:tc>
      </w:tr>
      <w:tr>
        <w:tc>
          <w:tcPr>
            <w:tcW w:type="dxa" w:w="5112"/>
          </w:tcPr>
          <w:p>
            <w:r>
              <w:t>Rule 6 – Producer</w:t>
            </w:r>
          </w:p>
        </w:tc>
        <w:tc>
          <w:tcPr>
            <w:tcW w:type="dxa" w:w="5112"/>
          </w:tcPr>
          <w:p>
            <w:r>
              <w:t>Obtain and implement applicable EPR targets through the portal.</w:t>
            </w:r>
          </w:p>
        </w:tc>
      </w:tr>
      <w:tr>
        <w:tc>
          <w:tcPr>
            <w:tcW w:type="dxa" w:w="5112"/>
          </w:tcPr>
          <w:p>
            <w:r>
              <w:t>Rule 7 – Refurbisher</w:t>
            </w:r>
          </w:p>
        </w:tc>
        <w:tc>
          <w:tcPr>
            <w:tcW w:type="dxa" w:w="5112"/>
          </w:tcPr>
          <w:p>
            <w:r>
              <w:t>Hand e-waste generated during refurbishing to a registered recycler.</w:t>
            </w:r>
          </w:p>
        </w:tc>
      </w:tr>
      <w:tr>
        <w:tc>
          <w:tcPr>
            <w:tcW w:type="dxa" w:w="5112"/>
          </w:tcPr>
          <w:p>
            <w:r>
              <w:t>Rule 8 – Bulk Consumer</w:t>
            </w:r>
          </w:p>
        </w:tc>
        <w:tc>
          <w:tcPr>
            <w:tcW w:type="dxa" w:w="5112"/>
          </w:tcPr>
          <w:p>
            <w:r>
              <w:t>Hand e-waste only to registered producer, refurbisher or recycler.</w:t>
            </w:r>
          </w:p>
        </w:tc>
      </w:tr>
      <w:tr>
        <w:tc>
          <w:tcPr>
            <w:tcW w:type="dxa" w:w="5112"/>
          </w:tcPr>
          <w:p>
            <w:r>
              <w:t>Rule 9 – Recycler</w:t>
            </w:r>
          </w:p>
        </w:tc>
        <w:tc>
          <w:tcPr>
            <w:tcW w:type="dxa" w:w="5112"/>
          </w:tcPr>
          <w:p>
            <w:r>
              <w:t>Use compliant recycling processes and maintain required records/portal information.</w:t>
            </w:r>
          </w:p>
        </w:tc>
      </w:tr>
      <w:tr>
        <w:tc>
          <w:tcPr>
            <w:tcW w:type="dxa" w:w="5112"/>
          </w:tcPr>
          <w:p>
            <w:r>
              <w:t>Rule 13 – EPR</w:t>
            </w:r>
          </w:p>
        </w:tc>
        <w:tc>
          <w:tcPr>
            <w:tcW w:type="dxa" w:w="5112"/>
          </w:tcPr>
          <w:p>
            <w:r>
              <w:t>Producer EPR obligations are fulfilled through the EPR framework; third parties may assist, but responsibility remains with the producer.</w:t>
            </w:r>
          </w:p>
        </w:tc>
      </w:tr>
    </w:tbl>
    <w:p>
      <w:r>
        <w:rPr>
          <w:i/>
          <w:sz w:val="16"/>
        </w:rPr>
        <w:t>Source: CPCB/Government material on E-Waste (Management) Rules, 2022; the rules became effective from 1 April 2023. The assignment reference also identifies the four registration categories. fileciteturn9file1L5-L8</w:t>
      </w:r>
    </w:p>
    <w:p>
      <w:r>
        <w:br w:type="page"/>
      </w:r>
    </w:p>
    <w:p>
      <w:pPr>
        <w:pStyle w:val="Heading1"/>
      </w:pPr>
      <w:r>
        <w:t>3. Dixon Technologies (India) Limited</w:t>
      </w:r>
    </w:p>
    <w:p>
      <w:r>
        <w:t>Entity type: Electronics manufacturing / EMS</w:t>
      </w:r>
    </w:p>
    <w:p>
      <w:r>
        <w:t>Overall assessment: HIGH operational evidence; current EPR scope needs careful interpretation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Uses authorized third-party recyclers for e-waste.</w:t>
      </w:r>
    </w:p>
    <w:p>
      <w:pPr>
        <w:pStyle w:val="ListBullet"/>
      </w:pPr>
      <w:r>
        <w:t>Reports source segregation and a Reduce-Reuse-Recycle approach.</w:t>
      </w:r>
    </w:p>
    <w:p>
      <w:pPr>
        <w:pStyle w:val="ListBullet"/>
      </w:pPr>
      <w:r>
        <w:t>FY 2023-24 disclosure stated that EPR was applicable and the waste collection plan aligned with the plan submitted to Pollution Control Boards.</w:t>
      </w:r>
    </w:p>
    <w:p>
      <w:pPr>
        <w:pStyle w:val="ListBullet"/>
      </w:pPr>
      <w:r>
        <w:t>Manufacturing facilities are reported as Zero Waste to Landfill.</w:t>
      </w:r>
    </w:p>
    <w:p>
      <w:pPr>
        <w:pStyle w:val="Heading2"/>
      </w:pPr>
      <w:r>
        <w:t>Extent and implementation</w:t>
      </w:r>
    </w:p>
    <w:p>
      <w:pPr/>
      <w:r>
        <w:t>Estimated extent of compliance: 80%.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FY 2024-25 disclosure focuses EPR discussion on plastic and battery waste and does not clearly provide a separate current e-waste EPR target/achievement.</w:t>
      </w:r>
    </w:p>
    <w:p>
      <w:pPr>
        <w:pStyle w:val="ListBullet"/>
      </w:pPr>
      <w:r>
        <w:t>Because Dixon operates mainly B2B, it states that it does not directly receive end-of-life products.</w:t>
      </w:r>
    </w:p>
    <w:p>
      <w:pPr>
        <w:pStyle w:val="Heading2"/>
      </w:pPr>
      <w:r>
        <w:t>Verified violations?</w:t>
      </w:r>
    </w:p>
    <w:p>
      <w:r>
        <w:t>No specific violation was established from the reviewed public evidence; the main gap is limited transparency on the current e-waste EPR target/achievement.</w:t>
      </w:r>
    </w:p>
    <w:p>
      <w:r>
        <w:rPr>
          <w:i/>
          <w:sz w:val="16"/>
        </w:rPr>
        <w:t>Source: Dixon annual-report disclosures.</w:t>
      </w:r>
    </w:p>
    <w:p>
      <w:r>
        <w:br w:type="page"/>
      </w:r>
    </w:p>
    <w:p>
      <w:pPr>
        <w:pStyle w:val="Heading1"/>
      </w:pPr>
      <w:r>
        <w:t>4. Kaynes Technology India Limited</w:t>
      </w:r>
    </w:p>
    <w:p>
      <w:r>
        <w:t>Entity type: Electronics manufacturing / EMS</w:t>
      </w:r>
    </w:p>
    <w:p>
      <w:r>
        <w:t>Overall assessment: HIGH based on latest public disclosure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E-waste is collected, stored and disposed of according to the E-Waste Management Rules.</w:t>
      </w:r>
    </w:p>
    <w:p>
      <w:pPr>
        <w:pStyle w:val="ListBullet"/>
      </w:pPr>
      <w:r>
        <w:t>Works with CPCB-authorized recyclers and registered agencies.</w:t>
      </w:r>
    </w:p>
    <w:p>
      <w:pPr>
        <w:pStyle w:val="ListBullet"/>
      </w:pPr>
      <w:r>
        <w:t>Reports source segregation and regulatory checks.</w:t>
      </w:r>
    </w:p>
    <w:p>
      <w:pPr>
        <w:pStyle w:val="ListBullet"/>
      </w:pPr>
      <w:r>
        <w:t>FY 2025-26 disclosure states EPR is applicable and practices are aligned with EPR plans submitted to Pollution Control Boards.</w:t>
      </w:r>
    </w:p>
    <w:p>
      <w:pPr>
        <w:pStyle w:val="Heading2"/>
      </w:pPr>
      <w:r>
        <w:t>Extent and implementation</w:t>
      </w:r>
    </w:p>
    <w:p>
      <w:pPr/>
      <w:r>
        <w:t>Estimated extent of compliance: 85%.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Public disclosures do not provide enough numerical information to independently calculate actual EPR achievement against the company's target.</w:t>
      </w:r>
    </w:p>
    <w:p>
      <w:pPr>
        <w:pStyle w:val="ListBullet"/>
      </w:pPr>
      <w:r>
        <w:t>Earlier disclosures described EPR differently, so the latest report should be prioritized.</w:t>
      </w:r>
    </w:p>
    <w:p>
      <w:pPr>
        <w:pStyle w:val="Heading2"/>
      </w:pPr>
      <w:r>
        <w:t>Verified violations?</w:t>
      </w:r>
    </w:p>
    <w:p>
      <w:r>
        <w:t>No verified violation identified in the reviewed disclosures.</w:t>
      </w:r>
    </w:p>
    <w:p>
      <w:r>
        <w:rPr>
          <w:i/>
          <w:sz w:val="16"/>
        </w:rPr>
        <w:t>Source: Kaynes Technology Annual Report 2025-26/BRSR.</w:t>
      </w:r>
    </w:p>
    <w:p>
      <w:r>
        <w:br w:type="page"/>
      </w:r>
    </w:p>
    <w:p>
      <w:pPr>
        <w:pStyle w:val="Heading1"/>
      </w:pPr>
      <w:r>
        <w:t>5. Syrma SGS Technology Limited</w:t>
      </w:r>
    </w:p>
    <w:p>
      <w:r>
        <w:t>Entity type: B2B electronics manufacturing / EMS</w:t>
      </w:r>
    </w:p>
    <w:p>
      <w:r>
        <w:t>Overall assessment: HIGH for operational e-waste handling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E-waste is disposed through authorized collectors/recyclers.</w:t>
      </w:r>
    </w:p>
    <w:p>
      <w:pPr>
        <w:pStyle w:val="ListBullet"/>
      </w:pPr>
      <w:r>
        <w:t>Global Waste Solution is identified as an authorized dismantler/recycler and handles collection, transport, storage, segregation, dismantling and recycling.</w:t>
      </w:r>
    </w:p>
    <w:p>
      <w:pPr>
        <w:pStyle w:val="ListBullet"/>
      </w:pPr>
      <w:r>
        <w:t>Waste management is implemented under ISO 14001 practices.</w:t>
      </w:r>
    </w:p>
    <w:p>
      <w:pPr>
        <w:pStyle w:val="ListBullet"/>
      </w:pPr>
      <w:r>
        <w:t>The company publishes an EPR-compliance/collection arrangement.</w:t>
      </w:r>
    </w:p>
    <w:p>
      <w:pPr>
        <w:pStyle w:val="Heading2"/>
      </w:pPr>
      <w:r>
        <w:t>Extent and implementation</w:t>
      </w:r>
    </w:p>
    <w:p>
      <w:pPr/>
      <w:r>
        <w:t>Estimated extent of compliance: 80%.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Syrma states it is a B2B contract manufacturer and does not control end-of-life handling of finished goods.</w:t>
      </w:r>
    </w:p>
    <w:p>
      <w:pPr>
        <w:pStyle w:val="ListBullet"/>
      </w:pPr>
      <w:r>
        <w:t>A producer-level EPR target is therefore not shown in its disclosure.</w:t>
      </w:r>
    </w:p>
    <w:p>
      <w:pPr>
        <w:pStyle w:val="Heading2"/>
      </w:pPr>
      <w:r>
        <w:t>Verified violations?</w:t>
      </w:r>
    </w:p>
    <w:p>
      <w:r>
        <w:t>No verified violation identified; the company presents EPR applicability as limited by its B2B role.</w:t>
      </w:r>
    </w:p>
    <w:p>
      <w:r>
        <w:rPr>
          <w:i/>
          <w:sz w:val="16"/>
        </w:rPr>
        <w:t>Source: Syrma SGS EPR Compliance page and Annual Reports.</w:t>
      </w:r>
    </w:p>
    <w:p>
      <w:r>
        <w:br w:type="page"/>
      </w:r>
    </w:p>
    <w:p>
      <w:pPr>
        <w:pStyle w:val="Heading1"/>
      </w:pPr>
      <w:r>
        <w:t>6. Sahasra Electronics</w:t>
      </w:r>
    </w:p>
    <w:p>
      <w:r>
        <w:t>Entity type: Electronics manufacturing / EMS</w:t>
      </w:r>
    </w:p>
    <w:p>
      <w:r>
        <w:t>Overall assessment: MODERATE–HIGH; organized recycling channel demonstrated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Maintains an EPR/e-waste management program.</w:t>
      </w:r>
    </w:p>
    <w:p>
      <w:pPr>
        <w:pStyle w:val="ListBullet"/>
      </w:pPr>
      <w:r>
        <w:t>Partners with an authorized recycler/dismantler.</w:t>
      </w:r>
    </w:p>
    <w:p>
      <w:pPr>
        <w:pStyle w:val="ListBullet"/>
      </w:pPr>
      <w:r>
        <w:t>Uses collection points and reverse logistics, including doorstep collection.</w:t>
      </w:r>
    </w:p>
    <w:p>
      <w:pPr>
        <w:pStyle w:val="ListBullet"/>
      </w:pPr>
      <w:r>
        <w:t>Public certification material shows EPR Authorization and E-Waste Management authorization.</w:t>
      </w:r>
    </w:p>
    <w:p>
      <w:pPr>
        <w:pStyle w:val="Heading2"/>
      </w:pPr>
      <w:r>
        <w:t>Extent and implementation</w:t>
      </w:r>
    </w:p>
    <w:p>
      <w:pPr/>
      <w:r>
        <w:t>Estimated extent of compliance: 75%.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Some public e-waste pages still cite the older 2016/2018 rules.</w:t>
      </w:r>
    </w:p>
    <w:p>
      <w:pPr>
        <w:pStyle w:val="ListBullet"/>
      </w:pPr>
      <w:r>
        <w:t>A 2024 filing indicated an application for the E-Waste Management System under the 2022 Rules, so current portal status should be verified.</w:t>
      </w:r>
    </w:p>
    <w:p>
      <w:pPr>
        <w:pStyle w:val="Heading2"/>
      </w:pPr>
      <w:r>
        <w:t>Verified violations?</w:t>
      </w:r>
    </w:p>
    <w:p>
      <w:r>
        <w:t>No specific violation established; the key issue is outdated public documentation/current 2022-rule verification.</w:t>
      </w:r>
    </w:p>
    <w:p>
      <w:r>
        <w:rPr>
          <w:i/>
          <w:sz w:val="16"/>
        </w:rPr>
        <w:t>Source: Sahasra E-Waste Management page, certification page and 2024 DRHP.</w:t>
      </w:r>
    </w:p>
    <w:p>
      <w:r>
        <w:br w:type="page"/>
      </w:r>
    </w:p>
    <w:p>
      <w:pPr>
        <w:pStyle w:val="Heading1"/>
      </w:pPr>
      <w:r>
        <w:t>7. VVDN Technologies Private Limited</w:t>
      </w:r>
    </w:p>
    <w:p>
      <w:r>
        <w:t>Entity type: Electronics manufacturing / EMS</w:t>
      </w:r>
    </w:p>
    <w:p>
      <w:r>
        <w:t>Overall assessment: MODERATE based on public documentation</w:t>
      </w:r>
    </w:p>
    <w:p>
      <w:pPr>
        <w:pStyle w:val="Heading2"/>
      </w:pPr>
      <w:r>
        <w:t>Rules / practices followed</w:t>
      </w:r>
    </w:p>
    <w:p>
      <w:pPr>
        <w:pStyle w:val="ListBullet"/>
      </w:pPr>
      <w:r>
        <w:t>States that it has an EPR plan for e-waste.</w:t>
      </w:r>
    </w:p>
    <w:p>
      <w:pPr>
        <w:pStyle w:val="ListBullet"/>
      </w:pPr>
      <w:r>
        <w:t>Partners with E-Waste Recyclers India, described as a recycler/dismantler registered with Haryana PCB.</w:t>
      </w:r>
    </w:p>
    <w:p>
      <w:pPr>
        <w:pStyle w:val="ListBullet"/>
      </w:pPr>
      <w:r>
        <w:t>Publishes collection-centre and logistics arrangements.</w:t>
      </w:r>
    </w:p>
    <w:p>
      <w:pPr>
        <w:pStyle w:val="ListBullet"/>
      </w:pPr>
      <w:r>
        <w:t>Describes channelization to the recycling facility.</w:t>
      </w:r>
    </w:p>
    <w:p>
      <w:pPr>
        <w:pStyle w:val="Heading2"/>
      </w:pPr>
      <w:r>
        <w:t>Extent and implementation</w:t>
      </w:r>
    </w:p>
    <w:p>
      <w:pPr/>
      <w:r>
        <w:t>Estimated extent of compliance: 70%. This is an academic score based on the strength and completeness of publicly available evidence for applicable registration, EPR, collection/channelization, authorized-recycler use and reporting requirements. It is NOT an official CPCB compliance rating.</w:t>
      </w:r>
    </w:p>
    <w:p>
      <w:pPr>
        <w:pStyle w:val="Heading2"/>
      </w:pPr>
      <w:r>
        <w:t>Gaps / possible non-compliance indicators</w:t>
      </w:r>
    </w:p>
    <w:p>
      <w:pPr>
        <w:pStyle w:val="ListBullet"/>
      </w:pPr>
      <w:r>
        <w:t>Its public e-waste page mainly cites the 2016/2018 framework rather than the 2022 Rules.</w:t>
      </w:r>
    </w:p>
    <w:p>
      <w:pPr>
        <w:pStyle w:val="ListBullet"/>
      </w:pPr>
      <w:r>
        <w:t>Current CPCB registration and numerical EPR target achievement are not clearly shown on the reviewed page.</w:t>
      </w:r>
    </w:p>
    <w:p>
      <w:pPr>
        <w:pStyle w:val="Heading2"/>
      </w:pPr>
      <w:r>
        <w:t>Verified violations?</w:t>
      </w:r>
    </w:p>
    <w:p>
      <w:r>
        <w:t>No verified violation established; the main finding is a current-rule/documentation gap.</w:t>
      </w:r>
    </w:p>
    <w:p>
      <w:r>
        <w:rPr>
          <w:i/>
          <w:sz w:val="16"/>
        </w:rPr>
        <w:t>Source: VVDN Technologies E-Waste Management page.</w:t>
      </w:r>
    </w:p>
    <w:p>
      <w:r>
        <w:br w:type="page"/>
      </w:r>
    </w:p>
    <w:p>
      <w:r>
        <w:t>Percentage methodology: The percentages below are estimated public-evidence scores based on the compliance areas reviewed (registration, EPR, collection/channelization, authorized recyclers, records/reporting and current-rule documentation). They should be used for academic comparison only and should not be presented as an official legal compliance score.</w:t>
      </w:r>
    </w:p>
    <w:p>
      <w:pPr>
        <w:pStyle w:val="Heading1"/>
      </w:pPr>
      <w:r>
        <w:t>8. Comparative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Company</w:t>
            </w:r>
          </w:p>
        </w:tc>
        <w:tc>
          <w:tcPr>
            <w:tcW w:type="dxa" w:w="2556"/>
          </w:tcPr>
          <w:p>
            <w:r>
              <w:t>Operational handling</w:t>
            </w:r>
          </w:p>
        </w:tc>
        <w:tc>
          <w:tcPr>
            <w:tcW w:type="dxa" w:w="2556"/>
          </w:tcPr>
          <w:p>
            <w:r>
              <w:t>EPR evidence</w:t>
            </w:r>
          </w:p>
        </w:tc>
        <w:tc>
          <w:tcPr>
            <w:tcW w:type="dxa" w:w="2556"/>
          </w:tcPr>
          <w:p>
            <w:r>
              <w:t>Main gap</w:t>
            </w:r>
          </w:p>
        </w:tc>
      </w:tr>
      <w:tr>
        <w:tc>
          <w:tcPr>
            <w:tcW w:type="dxa" w:w="2556"/>
          </w:tcPr>
          <w:p>
            <w:r>
              <w:t>Dixon</w:t>
            </w:r>
          </w:p>
        </w:tc>
        <w:tc>
          <w:tcPr>
            <w:tcW w:type="dxa" w:w="2556"/>
          </w:tcPr>
          <w:p>
            <w:r>
              <w:t>High | Extent: 80%</w:t>
            </w:r>
          </w:p>
        </w:tc>
        <w:tc>
          <w:tcPr>
            <w:tcW w:type="dxa" w:w="2556"/>
          </w:tcPr>
          <w:p>
            <w:r>
              <w:t>Moderate–High</w:t>
            </w:r>
          </w:p>
        </w:tc>
        <w:tc>
          <w:tcPr>
            <w:tcW w:type="dxa" w:w="2556"/>
          </w:tcPr>
          <w:p>
            <w:r>
              <w:t>Current e-waste EPR achievement not clearly quantified</w:t>
            </w:r>
          </w:p>
        </w:tc>
      </w:tr>
      <w:tr>
        <w:tc>
          <w:tcPr>
            <w:tcW w:type="dxa" w:w="2556"/>
          </w:tcPr>
          <w:p>
            <w:r>
              <w:t>Kaynes</w:t>
            </w:r>
          </w:p>
        </w:tc>
        <w:tc>
          <w:tcPr>
            <w:tcW w:type="dxa" w:w="2556"/>
          </w:tcPr>
          <w:p>
            <w:r>
              <w:t>High | Extent: 85%</w:t>
            </w:r>
          </w:p>
        </w:tc>
        <w:tc>
          <w:tcPr>
            <w:tcW w:type="dxa" w:w="2556"/>
          </w:tcPr>
          <w:p>
            <w:r>
              <w:t>High in latest disclosure</w:t>
            </w:r>
          </w:p>
        </w:tc>
        <w:tc>
          <w:tcPr>
            <w:tcW w:type="dxa" w:w="2556"/>
          </w:tcPr>
          <w:p>
            <w:r>
              <w:t>Actual EPR achievement not independently quantified</w:t>
            </w:r>
          </w:p>
        </w:tc>
      </w:tr>
      <w:tr>
        <w:tc>
          <w:tcPr>
            <w:tcW w:type="dxa" w:w="2556"/>
          </w:tcPr>
          <w:p>
            <w:r>
              <w:t>Syrma SGS</w:t>
            </w:r>
          </w:p>
        </w:tc>
        <w:tc>
          <w:tcPr>
            <w:tcW w:type="dxa" w:w="2556"/>
          </w:tcPr>
          <w:p>
            <w:r>
              <w:t>High | Extent: 80%</w:t>
            </w:r>
          </w:p>
        </w:tc>
        <w:tc>
          <w:tcPr>
            <w:tcW w:type="dxa" w:w="2556"/>
          </w:tcPr>
          <w:p>
            <w:r>
              <w:t>Moderate; applicability explained</w:t>
            </w:r>
          </w:p>
        </w:tc>
        <w:tc>
          <w:tcPr>
            <w:tcW w:type="dxa" w:w="2556"/>
          </w:tcPr>
          <w:p>
            <w:r>
              <w:t>No producer-level EPR target shown</w:t>
            </w:r>
          </w:p>
        </w:tc>
      </w:tr>
      <w:tr>
        <w:tc>
          <w:tcPr>
            <w:tcW w:type="dxa" w:w="2556"/>
          </w:tcPr>
          <w:p>
            <w:r>
              <w:t>Sahasra</w:t>
            </w:r>
          </w:p>
        </w:tc>
        <w:tc>
          <w:tcPr>
            <w:tcW w:type="dxa" w:w="2556"/>
          </w:tcPr>
          <w:p>
            <w:r>
              <w:t>High | Extent: 75%</w:t>
            </w:r>
          </w:p>
        </w:tc>
        <w:tc>
          <w:tcPr>
            <w:tcW w:type="dxa" w:w="2556"/>
          </w:tcPr>
          <w:p>
            <w:r>
              <w:t>Moderate–High</w:t>
            </w:r>
          </w:p>
        </w:tc>
        <w:tc>
          <w:tcPr>
            <w:tcW w:type="dxa" w:w="2556"/>
          </w:tcPr>
          <w:p>
            <w:r>
              <w:t>Some public pages cite older rules</w:t>
            </w:r>
          </w:p>
        </w:tc>
      </w:tr>
      <w:tr>
        <w:tc>
          <w:tcPr>
            <w:tcW w:type="dxa" w:w="2556"/>
          </w:tcPr>
          <w:p>
            <w:r>
              <w:t>VVDN</w:t>
            </w:r>
          </w:p>
        </w:tc>
        <w:tc>
          <w:tcPr>
            <w:tcW w:type="dxa" w:w="2556"/>
          </w:tcPr>
          <w:p>
            <w:r>
              <w:t>High | Extent: 70%</w:t>
            </w:r>
          </w:p>
        </w:tc>
        <w:tc>
          <w:tcPr>
            <w:tcW w:type="dxa" w:w="2556"/>
          </w:tcPr>
          <w:p>
            <w:r>
              <w:t>Moderate</w:t>
            </w:r>
          </w:p>
        </w:tc>
        <w:tc>
          <w:tcPr>
            <w:tcW w:type="dxa" w:w="2556"/>
          </w:tcPr>
          <w:p>
            <w:r>
              <w:t>Current 2022-rule registration/target data not clearly shown</w:t>
            </w:r>
          </w:p>
        </w:tc>
      </w:tr>
    </w:tbl>
    <w:p>
      <w:pPr>
        <w:pStyle w:val="Heading1"/>
      </w:pPr>
      <w:r>
        <w:t>9. Overall Findings</w:t>
      </w:r>
    </w:p>
    <w:p>
      <w:pPr>
        <w:pStyle w:val="ListBullet"/>
      </w:pPr>
      <w:r>
        <w:t>All five companies publicly demonstrate some form of formal e-waste collection, disposal or recycling arrangement.</w:t>
      </w:r>
    </w:p>
    <w:p>
      <w:pPr>
        <w:pStyle w:val="ListBullet"/>
      </w:pPr>
      <w:r>
        <w:t>The strongest common practice is channelization to authorized/registered recycling partners rather than informal disposal.</w:t>
      </w:r>
    </w:p>
    <w:p>
      <w:pPr>
        <w:pStyle w:val="ListBullet"/>
      </w:pPr>
      <w:r>
        <w:t>Transparency differs: some companies clearly describe EPR alignment, while others mainly disclose operational waste disposal.</w:t>
      </w:r>
    </w:p>
    <w:p>
      <w:pPr>
        <w:pStyle w:val="ListBullet"/>
      </w:pPr>
      <w:r>
        <w:t>No company is labelled legally 'violating' the Rules without direct evidence. Documentation gaps are reported separately.</w:t>
      </w:r>
    </w:p>
    <w:p>
      <w:pPr>
        <w:pStyle w:val="ListBullet"/>
      </w:pPr>
      <w:r>
        <w:t>For a final legal conclusion, CPCB portal registration, EPR targets, EPR certificates, quarterly/annual returns and relevant authorization records should be verified.</w:t>
      </w:r>
    </w:p>
    <w:p>
      <w:pPr>
        <w:pStyle w:val="Heading1"/>
      </w:pPr>
      <w:r>
        <w:t>10. Conclusion</w:t>
      </w:r>
    </w:p>
    <w:p>
      <w:r>
        <w:t>The five selected companies show varying levels of publicly evidenced compliance, ranging from 70% to 85% in this academic assessment. These percentages reflect the strength and completeness of evidence found in public disclosures, not a legal certification. Most companies demonstrate formal segregation, collection and recycling through authorized partners, while the main gaps relate to current EPR registration/targets, numerical achievement data and up-to-date documentation.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CPCB / Government of India – E-Waste (Management) Rules, 2022 and implementation material.</w:t>
      </w:r>
    </w:p>
    <w:p>
      <w:pPr>
        <w:pStyle w:val="ListBullet"/>
      </w:pPr>
      <w:r>
        <w:t>Dixon Technologies – Annual Reports and ESG/statutory disclosures.</w:t>
      </w:r>
    </w:p>
    <w:p>
      <w:pPr>
        <w:pStyle w:val="ListBullet"/>
      </w:pPr>
      <w:r>
        <w:t>Kaynes Technology – Annual Report/BRSR disclosures.</w:t>
      </w:r>
    </w:p>
    <w:p>
      <w:pPr>
        <w:pStyle w:val="ListBullet"/>
      </w:pPr>
      <w:r>
        <w:t>Syrma SGS – EPR Compliance page and Annual Reports.</w:t>
      </w:r>
    </w:p>
    <w:p>
      <w:pPr>
        <w:pStyle w:val="ListBullet"/>
      </w:pPr>
      <w:r>
        <w:t>Sahasra Electronics – E-Waste Management and certification pages; 2024 DRHP.</w:t>
      </w:r>
    </w:p>
    <w:p>
      <w:pPr>
        <w:pStyle w:val="ListBullet"/>
      </w:pPr>
      <w:r>
        <w:t>VVDN Technologies – E-Waste Management page.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E45BCADE012848BADD84F0F5519C36" ma:contentTypeVersion="13" ma:contentTypeDescription="Create a new document." ma:contentTypeScope="" ma:versionID="749d6923f222eb45ac0dc6063575a178">
  <xsd:schema xmlns:xsd="http://www.w3.org/2001/XMLSchema" xmlns:xs="http://www.w3.org/2001/XMLSchema" xmlns:p="http://schemas.microsoft.com/office/2006/metadata/properties" xmlns:ns2="c49d017b-ac22-4c0b-a7a4-c8b9eca6cd70" xmlns:ns3="e0d206d7-ee7c-42da-b133-6e7342787b39" targetNamespace="http://schemas.microsoft.com/office/2006/metadata/properties" ma:root="true" ma:fieldsID="e99e7a50f06ef0e0bf1d9a36c1212498" ns2:_="" ns3:_="">
    <xsd:import namespace="c49d017b-ac22-4c0b-a7a4-c8b9eca6cd70"/>
    <xsd:import namespace="e0d206d7-ee7c-42da-b133-6e7342787b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d017b-ac22-4c0b-a7a4-c8b9eca6cd7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d206d7-ee7c-42da-b133-6e7342787b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5d6c0a8-0dd6-40f9-b8c8-aca075772b73}" ma:internalName="TaxCatchAll" ma:showField="CatchAllData" ma:web="e0d206d7-ee7c-42da-b133-6e7342787b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9d017b-ac22-4c0b-a7a4-c8b9eca6cd70">
      <Terms xmlns="http://schemas.microsoft.com/office/infopath/2007/PartnerControls"/>
    </lcf76f155ced4ddcb4097134ff3c332f>
    <TaxCatchAll xmlns="e0d206d7-ee7c-42da-b133-6e7342787b39" xsi:nil="true"/>
    <ReferenceId xmlns="c49d017b-ac22-4c0b-a7a4-c8b9eca6cd7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7DC9A3-A69E-447D-AA05-98FAD9C928B3}"/>
</file>

<file path=customXml/itemProps3.xml><?xml version="1.0" encoding="utf-8"?>
<ds:datastoreItem xmlns:ds="http://schemas.openxmlformats.org/officeDocument/2006/customXml" ds:itemID="{30F43FB1-4A4D-4F64-9ED1-140A4119EA6D}"/>
</file>

<file path=customXml/itemProps4.xml><?xml version="1.0" encoding="utf-8"?>
<ds:datastoreItem xmlns:ds="http://schemas.openxmlformats.org/officeDocument/2006/customXml" ds:itemID="{3443547E-F34A-4FD3-BEBD-210B41029F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0x01010029E45BCADE012848BADD84F0F5519C36</vt:lpwstr>
  </property>
  <property fmtid="{D5CDD505-2E9C-101B-9397-08002B2CF9AE}" pid="3" name="MediaServiceImageTags">
    <vt:lpwstr/>
  </property>
</Properties>
</file>