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B723" w14:textId="77777777" w:rsidR="008A3FDD" w:rsidRDefault="00000000">
      <w:pPr>
        <w:spacing w:before="2000"/>
        <w:jc w:val="center"/>
      </w:pPr>
      <w:r>
        <w:rPr>
          <w:b/>
          <w:bCs/>
          <w:color w:val="1E2761"/>
          <w:sz w:val="56"/>
          <w:szCs w:val="56"/>
        </w:rPr>
        <w:t>Supply Chain Intelligence</w:t>
      </w:r>
    </w:p>
    <w:p w14:paraId="72CB9619" w14:textId="77777777" w:rsidR="008A3FDD" w:rsidRDefault="00000000">
      <w:pPr>
        <w:spacing w:before="120" w:after="400"/>
        <w:jc w:val="center"/>
      </w:pPr>
      <w:r>
        <w:rPr>
          <w:color w:val="444444"/>
          <w:sz w:val="30"/>
          <w:szCs w:val="30"/>
        </w:rPr>
        <w:t>Optimizing Delivery Performance and Demand Forecasting</w:t>
      </w:r>
    </w:p>
    <w:p w14:paraId="074A3BDD" w14:textId="77777777" w:rsidR="008A3FDD" w:rsidRDefault="00000000">
      <w:pPr>
        <w:spacing w:before="200"/>
        <w:jc w:val="center"/>
        <w:rPr>
          <w:i/>
          <w:iCs/>
          <w:color w:val="595959"/>
          <w:sz w:val="24"/>
          <w:szCs w:val="24"/>
        </w:rPr>
      </w:pPr>
      <w:r>
        <w:rPr>
          <w:i/>
          <w:iCs/>
          <w:color w:val="595959"/>
          <w:sz w:val="24"/>
          <w:szCs w:val="24"/>
        </w:rPr>
        <w:t>Final Analytics Report</w:t>
      </w:r>
    </w:p>
    <w:p w14:paraId="70373A58" w14:textId="77777777" w:rsidR="00F63BA8" w:rsidRDefault="00F63BA8">
      <w:pPr>
        <w:spacing w:before="200"/>
        <w:jc w:val="center"/>
        <w:rPr>
          <w:i/>
          <w:iCs/>
          <w:color w:val="595959"/>
          <w:sz w:val="24"/>
          <w:szCs w:val="24"/>
        </w:rPr>
      </w:pPr>
    </w:p>
    <w:p w14:paraId="7E1361A9" w14:textId="7EFEC3D7" w:rsidR="00F63BA8" w:rsidRDefault="00F63BA8">
      <w:pPr>
        <w:spacing w:before="200"/>
        <w:jc w:val="center"/>
        <w:rPr>
          <w:i/>
          <w:iCs/>
          <w:color w:val="595959"/>
          <w:sz w:val="24"/>
          <w:szCs w:val="24"/>
        </w:rPr>
      </w:pPr>
      <w:r>
        <w:rPr>
          <w:i/>
          <w:iCs/>
          <w:color w:val="595959"/>
          <w:sz w:val="24"/>
          <w:szCs w:val="24"/>
        </w:rPr>
        <w:t>Prepared by: Harshada Kardile</w:t>
      </w:r>
    </w:p>
    <w:p w14:paraId="7C04A24D" w14:textId="121EBEA8" w:rsidR="00F63BA8" w:rsidRDefault="00F63BA8">
      <w:pPr>
        <w:spacing w:before="200"/>
        <w:jc w:val="center"/>
      </w:pPr>
      <w:r>
        <w:rPr>
          <w:i/>
          <w:iCs/>
          <w:color w:val="595959"/>
          <w:sz w:val="24"/>
          <w:szCs w:val="24"/>
        </w:rPr>
        <w:t>Date: 19 June 2026</w:t>
      </w:r>
    </w:p>
    <w:p w14:paraId="45E74DA6" w14:textId="77777777" w:rsidR="008A3FDD" w:rsidRDefault="00000000">
      <w:pPr>
        <w:spacing w:before="800"/>
        <w:jc w:val="center"/>
      </w:pPr>
      <w:r>
        <w:rPr>
          <w:color w:val="595959"/>
        </w:rPr>
        <w:t>Domain: Supply Chain / Logistics</w:t>
      </w:r>
    </w:p>
    <w:p w14:paraId="559AB444" w14:textId="77777777" w:rsidR="008A3FDD" w:rsidRDefault="00000000">
      <w:pPr>
        <w:spacing w:before="120"/>
        <w:jc w:val="center"/>
      </w:pPr>
      <w:r>
        <w:rPr>
          <w:color w:val="595959"/>
        </w:rPr>
        <w:t>Tools: Excel, SQL, Power BI, Statistical Analysis</w:t>
      </w:r>
    </w:p>
    <w:p w14:paraId="2B02822D" w14:textId="77777777" w:rsidR="008A3FDD" w:rsidRDefault="00000000">
      <w:pPr>
        <w:spacing w:before="1600"/>
        <w:jc w:val="center"/>
      </w:pPr>
      <w:r>
        <w:rPr>
          <w:color w:val="999999"/>
          <w:sz w:val="20"/>
          <w:szCs w:val="20"/>
        </w:rPr>
        <w:t>Prepared for Capstone Evaluation — GUVI / HCL</w:t>
      </w:r>
    </w:p>
    <w:p w14:paraId="1A48BA4A" w14:textId="77777777" w:rsidR="008A3FDD" w:rsidRDefault="00000000">
      <w:r>
        <w:br w:type="page"/>
      </w:r>
    </w:p>
    <w:p w14:paraId="731F565D" w14:textId="77777777" w:rsidR="008A3FDD" w:rsidRDefault="00000000">
      <w:pPr>
        <w:pStyle w:val="Heading1"/>
      </w:pPr>
      <w:r>
        <w:lastRenderedPageBreak/>
        <w:t>Table of Contents</w:t>
      </w:r>
    </w:p>
    <w:p w14:paraId="14411171" w14:textId="77777777" w:rsidR="008A3FDD" w:rsidRDefault="00000000">
      <w:pPr>
        <w:tabs>
          <w:tab w:val="right" w:leader="dot" w:pos="9026"/>
        </w:tabs>
        <w:spacing w:after="160"/>
      </w:pPr>
      <w:r>
        <w:t>1. Executive Summary</w:t>
      </w:r>
      <w:r>
        <w:tab/>
        <w:t>3</w:t>
      </w:r>
    </w:p>
    <w:p w14:paraId="1F46E602" w14:textId="77777777" w:rsidR="008A3FDD" w:rsidRDefault="00000000">
      <w:pPr>
        <w:tabs>
          <w:tab w:val="right" w:leader="dot" w:pos="9026"/>
        </w:tabs>
        <w:spacing w:after="160"/>
      </w:pPr>
      <w:r>
        <w:t>2. Business Problem and Objectives</w:t>
      </w:r>
      <w:r>
        <w:tab/>
        <w:t>3</w:t>
      </w:r>
    </w:p>
    <w:p w14:paraId="24B858C7" w14:textId="44C1541E" w:rsidR="00102E23" w:rsidRDefault="00102E23">
      <w:pPr>
        <w:spacing w:after="160"/>
        <w:rPr>
          <w:kern w:val="2"/>
          <w14:ligatures w14:val="standardContextual"/>
        </w:rPr>
      </w:pPr>
      <w:r>
        <w:t>2.1 AS-IS Process / TO-BE Analysis...........................................................................................</w:t>
      </w:r>
      <w:r w:rsidR="00F0044E">
        <w:t>...............</w:t>
      </w:r>
      <w:r>
        <w:t>3</w:t>
      </w:r>
    </w:p>
    <w:p w14:paraId="7DF298EA" w14:textId="77777777" w:rsidR="008A3FDD" w:rsidRDefault="00000000">
      <w:pPr>
        <w:tabs>
          <w:tab w:val="right" w:leader="dot" w:pos="9026"/>
        </w:tabs>
        <w:spacing w:after="160"/>
      </w:pPr>
      <w:r>
        <w:t>3. Dataset Overview and Data Quality</w:t>
      </w:r>
      <w:r>
        <w:tab/>
        <w:t>3</w:t>
      </w:r>
    </w:p>
    <w:p w14:paraId="5EE14011" w14:textId="77777777" w:rsidR="008A3FDD" w:rsidRDefault="00000000">
      <w:pPr>
        <w:tabs>
          <w:tab w:val="right" w:leader="dot" w:pos="9026"/>
        </w:tabs>
        <w:spacing w:after="160"/>
      </w:pPr>
      <w:r>
        <w:t>4. Excel and SQL Analysis Highlights</w:t>
      </w:r>
      <w:r>
        <w:tab/>
        <w:t>4</w:t>
      </w:r>
    </w:p>
    <w:p w14:paraId="0263BE25" w14:textId="77777777" w:rsidR="008A3FDD" w:rsidRDefault="00000000">
      <w:pPr>
        <w:tabs>
          <w:tab w:val="right" w:leader="dot" w:pos="9026"/>
        </w:tabs>
        <w:spacing w:after="160"/>
      </w:pPr>
      <w:r>
        <w:t>5. Delivery Performance and Root-Cause Analysis</w:t>
      </w:r>
      <w:r>
        <w:tab/>
        <w:t>4</w:t>
      </w:r>
    </w:p>
    <w:p w14:paraId="47824F7B" w14:textId="77777777" w:rsidR="008A3FDD" w:rsidRDefault="00000000">
      <w:pPr>
        <w:tabs>
          <w:tab w:val="right" w:leader="dot" w:pos="9026"/>
        </w:tabs>
        <w:spacing w:after="160"/>
      </w:pPr>
      <w:r>
        <w:t>6. Demand Forecasting</w:t>
      </w:r>
      <w:r>
        <w:tab/>
        <w:t>6</w:t>
      </w:r>
    </w:p>
    <w:p w14:paraId="6D300ACF" w14:textId="77777777" w:rsidR="008A3FDD" w:rsidRDefault="00000000">
      <w:pPr>
        <w:tabs>
          <w:tab w:val="right" w:leader="dot" w:pos="9026"/>
        </w:tabs>
        <w:spacing w:after="160"/>
      </w:pPr>
      <w:r>
        <w:t>7. Supplier Segmentation</w:t>
      </w:r>
      <w:r>
        <w:tab/>
        <w:t>6</w:t>
      </w:r>
    </w:p>
    <w:p w14:paraId="671B91F8" w14:textId="77777777" w:rsidR="008A3FDD" w:rsidRDefault="00000000">
      <w:pPr>
        <w:tabs>
          <w:tab w:val="right" w:leader="dot" w:pos="9026"/>
        </w:tabs>
        <w:spacing w:after="160"/>
      </w:pPr>
      <w:r>
        <w:t>8. Cost Attribution</w:t>
      </w:r>
      <w:r>
        <w:tab/>
        <w:t>7</w:t>
      </w:r>
    </w:p>
    <w:p w14:paraId="27BBD127" w14:textId="77777777" w:rsidR="008A3FDD" w:rsidRDefault="00000000">
      <w:pPr>
        <w:tabs>
          <w:tab w:val="right" w:leader="dot" w:pos="9026"/>
        </w:tabs>
        <w:spacing w:after="160"/>
      </w:pPr>
      <w:r>
        <w:t>9. KPI Dashboard Summary</w:t>
      </w:r>
      <w:r>
        <w:tab/>
        <w:t>7</w:t>
      </w:r>
    </w:p>
    <w:p w14:paraId="6B539AE2" w14:textId="77777777" w:rsidR="008A3FDD" w:rsidRDefault="00000000">
      <w:pPr>
        <w:tabs>
          <w:tab w:val="right" w:leader="dot" w:pos="9026"/>
        </w:tabs>
        <w:spacing w:after="160"/>
      </w:pPr>
      <w:r>
        <w:t>10. Recommendations</w:t>
      </w:r>
      <w:r>
        <w:tab/>
        <w:t>8</w:t>
      </w:r>
    </w:p>
    <w:p w14:paraId="0169C884" w14:textId="77777777" w:rsidR="008A3FDD" w:rsidRDefault="00000000">
      <w:pPr>
        <w:tabs>
          <w:tab w:val="right" w:leader="dot" w:pos="9026"/>
        </w:tabs>
        <w:spacing w:after="160"/>
      </w:pPr>
      <w:r>
        <w:t>11. Limitations and Future Scope</w:t>
      </w:r>
      <w:r>
        <w:tab/>
        <w:t>9</w:t>
      </w:r>
    </w:p>
    <w:p w14:paraId="523E1F88" w14:textId="77777777" w:rsidR="008A3FDD" w:rsidRDefault="00000000">
      <w:pPr>
        <w:tabs>
          <w:tab w:val="right" w:leader="dot" w:pos="9026"/>
        </w:tabs>
        <w:spacing w:after="160"/>
      </w:pPr>
      <w:r>
        <w:t>12. References and Appendix</w:t>
      </w:r>
      <w:r>
        <w:tab/>
        <w:t>9</w:t>
      </w:r>
    </w:p>
    <w:p w14:paraId="344C8B5C" w14:textId="77777777" w:rsidR="008A3FDD" w:rsidRDefault="00000000">
      <w:r>
        <w:br w:type="page"/>
      </w:r>
    </w:p>
    <w:p w14:paraId="778B1D63" w14:textId="77777777" w:rsidR="008A3FDD" w:rsidRDefault="00000000">
      <w:pPr>
        <w:pStyle w:val="Heading1"/>
      </w:pPr>
      <w:r>
        <w:lastRenderedPageBreak/>
        <w:t>1. Executive Summary</w:t>
      </w:r>
    </w:p>
    <w:p w14:paraId="2EF35E6B" w14:textId="77777777" w:rsidR="008A3FDD" w:rsidRDefault="00000000">
      <w:pPr>
        <w:spacing w:after="160"/>
      </w:pPr>
      <w:r>
        <w:t>This report presents the findings of an end-to-end supply chain analytics project covering 10,000 orders, 15 suppliers, and 6,000 monthly inventory records across 200 SKUs. The objective was to diagnose the causes of a severe on-time delivery shortfall, build a forecasting and segmentation framework, and translate the findings into prioritized, actionable recommendations.</w:t>
      </w:r>
    </w:p>
    <w:p w14:paraId="497A07A9" w14:textId="77777777" w:rsidR="008A3FDD" w:rsidRDefault="00000000">
      <w:pPr>
        <w:spacing w:after="160"/>
      </w:pPr>
      <w:r>
        <w:t>The analysis confirms the scale of the problem: on-time delivery sits at 16.48%, far below the 90% target, and several other KPIs — order defect rate, stockout rate, and forecast accuracy — are also well outside target ranges. The root causes are identifiable and actionable: carrier selection, region, and shipment weight are statistically significant predictors of delay, and supplier quality varies widely enough to support clear segmentation and action.</w:t>
      </w:r>
    </w:p>
    <w:p w14:paraId="6984C199" w14:textId="77777777" w:rsidR="008A3FDD" w:rsidRDefault="00000000">
      <w:pPr>
        <w:spacing w:after="160"/>
      </w:pPr>
      <w:r>
        <w:t>The recommendations in Section 7 are prioritized by impact versus effort and are designed to be implementable within the two-quarter window set by leadership.</w:t>
      </w:r>
    </w:p>
    <w:p w14:paraId="2503F74E" w14:textId="77777777" w:rsidR="008A3FDD" w:rsidRDefault="008A3FDD">
      <w:pPr>
        <w:pBdr>
          <w:bottom w:val="single" w:sz="6" w:space="1" w:color="AAAAAA"/>
        </w:pBdr>
        <w:spacing w:before="120" w:after="240"/>
      </w:pPr>
    </w:p>
    <w:p w14:paraId="24333451" w14:textId="2EE9B6AF" w:rsidR="008A3FDD" w:rsidRDefault="00000000">
      <w:pPr>
        <w:pStyle w:val="Heading1"/>
      </w:pPr>
      <w:r>
        <w:t>2. Business Problem and Objectives</w:t>
      </w:r>
      <w:r w:rsidR="00DF17C4">
        <w:t xml:space="preserve"> </w:t>
      </w:r>
    </w:p>
    <w:p w14:paraId="5B6ADE1E" w14:textId="77777777" w:rsidR="008A3FDD" w:rsidRDefault="00000000">
      <w:pPr>
        <w:spacing w:after="160"/>
      </w:pPr>
      <w:r>
        <w:t>A growing e-commerce retailer is experiencing a high on-time delivery failure rate, rising logistics costs, and frequent stockouts during peak demand periods. Leadership tasked the analytics team with identifying the key drivers of these issues and providing a forecast-driven strategy to:</w:t>
      </w:r>
    </w:p>
    <w:p w14:paraId="2DD804CF" w14:textId="77777777" w:rsidR="008A3FDD" w:rsidRDefault="00000000">
      <w:pPr>
        <w:pStyle w:val="ListParagraph"/>
        <w:numPr>
          <w:ilvl w:val="0"/>
          <w:numId w:val="2"/>
        </w:numPr>
        <w:spacing w:after="80"/>
      </w:pPr>
      <w:r>
        <w:t>Reduce delivery delays by 15% within two quarters</w:t>
      </w:r>
    </w:p>
    <w:p w14:paraId="533D3FDB" w14:textId="77777777" w:rsidR="008A3FDD" w:rsidRDefault="00000000">
      <w:pPr>
        <w:pStyle w:val="ListParagraph"/>
        <w:numPr>
          <w:ilvl w:val="0"/>
          <w:numId w:val="2"/>
        </w:numPr>
        <w:spacing w:after="80"/>
      </w:pPr>
      <w:r>
        <w:t>Lower logistics costs by 10% within two quarters</w:t>
      </w:r>
    </w:p>
    <w:p w14:paraId="6FC79969" w14:textId="77777777" w:rsidR="008A3FDD" w:rsidRDefault="00000000">
      <w:pPr>
        <w:pStyle w:val="ListParagraph"/>
        <w:numPr>
          <w:ilvl w:val="0"/>
          <w:numId w:val="2"/>
        </w:numPr>
        <w:spacing w:after="80"/>
      </w:pPr>
      <w:r>
        <w:t>Improve inventory planning accuracy to reduce stockouts</w:t>
      </w:r>
    </w:p>
    <w:p w14:paraId="57553DB7" w14:textId="77777777" w:rsidR="008A3FDD" w:rsidRDefault="00000000">
      <w:pPr>
        <w:spacing w:after="160"/>
      </w:pPr>
      <w:r>
        <w:t>This report addresses five business use cases: delivery performance analysis, demand forecasting, supplier segmentation, cost attribution, and root-cause analysis of delay drivers.</w:t>
      </w:r>
    </w:p>
    <w:p w14:paraId="3B207A36" w14:textId="77777777" w:rsidR="00BB79E7" w:rsidRPr="00DF17C4" w:rsidRDefault="00BB79E7">
      <w:pPr>
        <w:spacing w:after="160"/>
        <w:rPr>
          <w:b/>
          <w:bCs/>
          <w:color w:val="0F4761" w:themeColor="accent1" w:themeShade="BF"/>
        </w:rPr>
      </w:pPr>
    </w:p>
    <w:p w14:paraId="79D833C2" w14:textId="0BDB5CA7" w:rsidR="00BB79E7" w:rsidRPr="00DF17C4" w:rsidRDefault="00DF17C4">
      <w:pPr>
        <w:spacing w:after="160"/>
        <w:rPr>
          <w:b/>
          <w:bCs/>
          <w:color w:val="0A2F41" w:themeColor="accent1" w:themeShade="80"/>
          <w:sz w:val="32"/>
          <w:szCs w:val="32"/>
        </w:rPr>
      </w:pPr>
      <w:r w:rsidRPr="00DF17C4">
        <w:rPr>
          <w:b/>
          <w:bCs/>
          <w:color w:val="0A2F41" w:themeColor="accent1" w:themeShade="80"/>
          <w:sz w:val="32"/>
          <w:szCs w:val="32"/>
        </w:rPr>
        <w:t>2.1 AS-IS Process / TO BE Analysis</w:t>
      </w:r>
    </w:p>
    <w:p w14:paraId="4B5DF5F7" w14:textId="77777777" w:rsidR="00DF17C4" w:rsidRDefault="00DF17C4">
      <w:pPr>
        <w:pStyle w:val="Heading3"/>
        <w:rPr>
          <w:kern w:val="2"/>
          <w:sz w:val="27"/>
          <w:szCs w:val="27"/>
          <w14:ligatures w14:val="standardContextual"/>
        </w:rPr>
      </w:pPr>
      <w:r>
        <w:t>AS-IS State (Current Situation)</w:t>
      </w:r>
    </w:p>
    <w:p w14:paraId="66DE8EC6" w14:textId="77777777" w:rsidR="00DF17C4" w:rsidRDefault="00DF17C4">
      <w:pPr>
        <w:spacing w:after="160"/>
        <w:rPr>
          <w:kern w:val="2"/>
          <w14:ligatures w14:val="standardContextual"/>
        </w:rPr>
      </w:pPr>
      <w:r>
        <w:t>Prior to this analysis, the e-commerce retailer operated without a structured performance monitoring system. Delivery performance was tracked manually with no automated KPI visibility across regions and carriers. The following pain points were identified through data audit: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171"/>
        <w:gridCol w:w="4399"/>
        <w:gridCol w:w="2780"/>
      </w:tblGrid>
      <w:tr w:rsidR="00DF17C4" w14:paraId="7B22DC1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21895" w14:textId="77777777" w:rsidR="00DF17C4" w:rsidRDefault="00DF17C4">
            <w:pPr>
              <w:rPr>
                <w:kern w:val="2"/>
                <w14:ligatures w14:val="standardContextual"/>
              </w:rPr>
            </w:pPr>
            <w:r>
              <w:t>Area</w:t>
            </w:r>
          </w:p>
        </w:tc>
        <w:tc>
          <w:tcPr>
            <w:tcW w:w="0" w:type="auto"/>
            <w:hideMark/>
          </w:tcPr>
          <w:p w14:paraId="1A45F6C1" w14:textId="77777777" w:rsidR="00DF17C4" w:rsidRDefault="00DF1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AS-IS Situation</w:t>
            </w:r>
          </w:p>
        </w:tc>
        <w:tc>
          <w:tcPr>
            <w:tcW w:w="0" w:type="auto"/>
            <w:hideMark/>
          </w:tcPr>
          <w:p w14:paraId="09180FCD" w14:textId="77777777" w:rsidR="00DF17C4" w:rsidRDefault="00DF1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Measured Value</w:t>
            </w:r>
          </w:p>
        </w:tc>
      </w:tr>
      <w:tr w:rsidR="00DF17C4" w14:paraId="538020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2A6DE" w14:textId="77777777" w:rsidR="00DF17C4" w:rsidRDefault="00DF17C4">
            <w:r>
              <w:t>Delivery Performance</w:t>
            </w:r>
          </w:p>
        </w:tc>
        <w:tc>
          <w:tcPr>
            <w:tcW w:w="0" w:type="auto"/>
            <w:hideMark/>
          </w:tcPr>
          <w:p w14:paraId="7AA848D1" w14:textId="77777777" w:rsidR="00DF17C4" w:rsidRDefault="00DF1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carrier-wise tracking, delays unmonitored</w:t>
            </w:r>
          </w:p>
        </w:tc>
        <w:tc>
          <w:tcPr>
            <w:tcW w:w="0" w:type="auto"/>
            <w:hideMark/>
          </w:tcPr>
          <w:p w14:paraId="24FE86A5" w14:textId="77777777" w:rsidR="00DF17C4" w:rsidRDefault="00DF1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On-Time Rate = 16.48%</w:t>
            </w:r>
          </w:p>
        </w:tc>
      </w:tr>
      <w:tr w:rsidR="00DF17C4" w14:paraId="2A0B758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0A143" w14:textId="77777777" w:rsidR="00DF17C4" w:rsidRDefault="00DF17C4">
            <w:r>
              <w:t>Logistics Cost</w:t>
            </w:r>
          </w:p>
        </w:tc>
        <w:tc>
          <w:tcPr>
            <w:tcW w:w="0" w:type="auto"/>
            <w:hideMark/>
          </w:tcPr>
          <w:p w14:paraId="17178BE4" w14:textId="77777777" w:rsidR="00DF17C4" w:rsidRDefault="00DF1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cost attribution by region or carrier</w:t>
            </w:r>
          </w:p>
        </w:tc>
        <w:tc>
          <w:tcPr>
            <w:tcW w:w="0" w:type="auto"/>
            <w:hideMark/>
          </w:tcPr>
          <w:p w14:paraId="7D5E69BD" w14:textId="77777777" w:rsidR="00DF17C4" w:rsidRDefault="00DF1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 per Order = $325.52</w:t>
            </w:r>
          </w:p>
        </w:tc>
      </w:tr>
      <w:tr w:rsidR="00DF17C4" w14:paraId="65910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90EF8" w14:textId="77777777" w:rsidR="00DF17C4" w:rsidRDefault="00DF17C4">
            <w:r>
              <w:t>Supplier Management</w:t>
            </w:r>
          </w:p>
        </w:tc>
        <w:tc>
          <w:tcPr>
            <w:tcW w:w="0" w:type="auto"/>
            <w:hideMark/>
          </w:tcPr>
          <w:p w14:paraId="34AFFFC9" w14:textId="77777777" w:rsidR="00DF17C4" w:rsidRDefault="00DF1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supplier segmentation or risk classification</w:t>
            </w:r>
          </w:p>
        </w:tc>
        <w:tc>
          <w:tcPr>
            <w:tcW w:w="0" w:type="auto"/>
            <w:hideMark/>
          </w:tcPr>
          <w:p w14:paraId="5EF484A1" w14:textId="60A28163" w:rsidR="00DF17C4" w:rsidRDefault="00DF1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 of 15 </w:t>
            </w:r>
            <w:r w:rsidR="00F0044E">
              <w:t>suppliers’</w:t>
            </w:r>
            <w:r>
              <w:t xml:space="preserve"> Critical risk</w:t>
            </w:r>
          </w:p>
        </w:tc>
      </w:tr>
      <w:tr w:rsidR="00DF17C4" w14:paraId="07F8CAA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41E82" w14:textId="77777777" w:rsidR="00DF17C4" w:rsidRDefault="00DF17C4">
            <w:r>
              <w:t>Inventory Planning</w:t>
            </w:r>
          </w:p>
        </w:tc>
        <w:tc>
          <w:tcPr>
            <w:tcW w:w="0" w:type="auto"/>
            <w:hideMark/>
          </w:tcPr>
          <w:p w14:paraId="12A3080B" w14:textId="77777777" w:rsidR="00DF17C4" w:rsidRDefault="00DF1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demand forecasting, reorder points misaligned</w:t>
            </w:r>
          </w:p>
        </w:tc>
        <w:tc>
          <w:tcPr>
            <w:tcW w:w="0" w:type="auto"/>
            <w:hideMark/>
          </w:tcPr>
          <w:p w14:paraId="137844EC" w14:textId="77777777" w:rsidR="00DF17C4" w:rsidRDefault="00DF1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Stockout Rate = 44.28%</w:t>
            </w:r>
          </w:p>
        </w:tc>
      </w:tr>
      <w:tr w:rsidR="00DF17C4" w14:paraId="6F6933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450D9" w14:textId="77777777" w:rsidR="00DF17C4" w:rsidRDefault="00DF17C4">
            <w:r>
              <w:lastRenderedPageBreak/>
              <w:t>Reporting</w:t>
            </w:r>
          </w:p>
        </w:tc>
        <w:tc>
          <w:tcPr>
            <w:tcW w:w="0" w:type="auto"/>
            <w:hideMark/>
          </w:tcPr>
          <w:p w14:paraId="651E744A" w14:textId="77777777" w:rsidR="00DF17C4" w:rsidRDefault="00DF1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centralized dashboard for leadership</w:t>
            </w:r>
          </w:p>
        </w:tc>
        <w:tc>
          <w:tcPr>
            <w:tcW w:w="0" w:type="auto"/>
            <w:hideMark/>
          </w:tcPr>
          <w:p w14:paraId="5C60249B" w14:textId="77777777" w:rsidR="00DF17C4" w:rsidRDefault="00DF1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Manual, fragmented reporting</w:t>
            </w:r>
          </w:p>
        </w:tc>
      </w:tr>
    </w:tbl>
    <w:p w14:paraId="20E5DA40" w14:textId="77777777" w:rsidR="00DF17C4" w:rsidRDefault="00DF17C4">
      <w:pPr>
        <w:rPr>
          <w:kern w:val="2"/>
          <w14:ligatures w14:val="standardContextual"/>
        </w:rPr>
      </w:pPr>
    </w:p>
    <w:p w14:paraId="1F8B10ED" w14:textId="77777777" w:rsidR="00DF17C4" w:rsidRDefault="00DF17C4">
      <w:pPr>
        <w:pStyle w:val="Heading3"/>
        <w:rPr>
          <w:kern w:val="2"/>
          <w14:ligatures w14:val="standardContextual"/>
        </w:rPr>
      </w:pPr>
      <w:r>
        <w:t>TO-BE State (Desired Future Situation)</w:t>
      </w:r>
    </w:p>
    <w:p w14:paraId="195269F0" w14:textId="77777777" w:rsidR="00DF17C4" w:rsidRDefault="00DF17C4">
      <w:pPr>
        <w:spacing w:after="160"/>
        <w:rPr>
          <w:kern w:val="2"/>
          <w14:ligatures w14:val="standardContextual"/>
        </w:rPr>
      </w:pPr>
      <w:r>
        <w:t>Following the analysis, recommendations, and dashboard delivery, the organization has a clear data-driven target state with defined acceptance criteria for each business area: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034"/>
        <w:gridCol w:w="4383"/>
        <w:gridCol w:w="2933"/>
      </w:tblGrid>
      <w:tr w:rsidR="00DF17C4" w14:paraId="7FC65B1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8EA20" w14:textId="77777777" w:rsidR="00DF17C4" w:rsidRDefault="00DF17C4">
            <w:pPr>
              <w:rPr>
                <w:kern w:val="2"/>
                <w14:ligatures w14:val="standardContextual"/>
              </w:rPr>
            </w:pPr>
            <w:r>
              <w:t>Area</w:t>
            </w:r>
          </w:p>
        </w:tc>
        <w:tc>
          <w:tcPr>
            <w:tcW w:w="0" w:type="auto"/>
            <w:hideMark/>
          </w:tcPr>
          <w:p w14:paraId="75AA8FA2" w14:textId="77777777" w:rsidR="00DF17C4" w:rsidRDefault="00DF1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TO-BE Solution</w:t>
            </w:r>
          </w:p>
        </w:tc>
        <w:tc>
          <w:tcPr>
            <w:tcW w:w="0" w:type="auto"/>
            <w:hideMark/>
          </w:tcPr>
          <w:p w14:paraId="2B553B08" w14:textId="77777777" w:rsidR="00DF17C4" w:rsidRDefault="00DF1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/ Acceptance Criteria</w:t>
            </w:r>
          </w:p>
        </w:tc>
      </w:tr>
      <w:tr w:rsidR="00DF17C4" w14:paraId="1F2A15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0D871" w14:textId="77777777" w:rsidR="00DF17C4" w:rsidRDefault="00DF17C4">
            <w:r>
              <w:t>Delivery Performance</w:t>
            </w:r>
          </w:p>
        </w:tc>
        <w:tc>
          <w:tcPr>
            <w:tcW w:w="0" w:type="auto"/>
            <w:hideMark/>
          </w:tcPr>
          <w:p w14:paraId="709C60A8" w14:textId="77777777" w:rsidR="00DF17C4" w:rsidRDefault="00DF1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Carrier performance monitored via Power BI dashboard</w:t>
            </w:r>
          </w:p>
        </w:tc>
        <w:tc>
          <w:tcPr>
            <w:tcW w:w="0" w:type="auto"/>
            <w:hideMark/>
          </w:tcPr>
          <w:p w14:paraId="3A3505BE" w14:textId="77777777" w:rsidR="00DF17C4" w:rsidRDefault="00DF1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On-Time Rate ≥ 90%</w:t>
            </w:r>
          </w:p>
        </w:tc>
      </w:tr>
      <w:tr w:rsidR="00DF17C4" w14:paraId="2FA7FA4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6BFCA" w14:textId="77777777" w:rsidR="00DF17C4" w:rsidRDefault="00DF17C4">
            <w:r>
              <w:t>Logistics Cost</w:t>
            </w:r>
          </w:p>
        </w:tc>
        <w:tc>
          <w:tcPr>
            <w:tcW w:w="0" w:type="auto"/>
            <w:hideMark/>
          </w:tcPr>
          <w:p w14:paraId="48787363" w14:textId="77777777" w:rsidR="00DF17C4" w:rsidRDefault="00DF1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 attributed by region and carrier with drill-through</w:t>
            </w:r>
          </w:p>
        </w:tc>
        <w:tc>
          <w:tcPr>
            <w:tcW w:w="0" w:type="auto"/>
            <w:hideMark/>
          </w:tcPr>
          <w:p w14:paraId="4FEF6FFC" w14:textId="77777777" w:rsidR="00DF17C4" w:rsidRDefault="00DF1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Reduce by 10%</w:t>
            </w:r>
          </w:p>
        </w:tc>
      </w:tr>
      <w:tr w:rsidR="00DF17C4" w14:paraId="0AF671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94690" w14:textId="77777777" w:rsidR="00DF17C4" w:rsidRDefault="00DF17C4">
            <w:r>
              <w:t>Supplier Management</w:t>
            </w:r>
          </w:p>
        </w:tc>
        <w:tc>
          <w:tcPr>
            <w:tcW w:w="0" w:type="auto"/>
            <w:hideMark/>
          </w:tcPr>
          <w:p w14:paraId="6254FB2C" w14:textId="77777777" w:rsidR="00DF17C4" w:rsidRDefault="00DF1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3-tier supplier segmentation with action plans per cluster</w:t>
            </w:r>
          </w:p>
        </w:tc>
        <w:tc>
          <w:tcPr>
            <w:tcW w:w="0" w:type="auto"/>
            <w:hideMark/>
          </w:tcPr>
          <w:p w14:paraId="7134A04C" w14:textId="77777777" w:rsidR="00DF17C4" w:rsidRDefault="00DF1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 Time ≤ 7 days, Defect Rate ≤ 2%</w:t>
            </w:r>
          </w:p>
        </w:tc>
      </w:tr>
      <w:tr w:rsidR="00DF17C4" w14:paraId="3C1A483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2B462" w14:textId="77777777" w:rsidR="00DF17C4" w:rsidRDefault="00DF17C4">
            <w:r>
              <w:t>Inventory Planning</w:t>
            </w:r>
          </w:p>
        </w:tc>
        <w:tc>
          <w:tcPr>
            <w:tcW w:w="0" w:type="auto"/>
            <w:hideMark/>
          </w:tcPr>
          <w:p w14:paraId="04AEE62D" w14:textId="77777777" w:rsidR="00DF17C4" w:rsidRDefault="00DF1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SKU-level demand forecast driving reorder decisions</w:t>
            </w:r>
          </w:p>
        </w:tc>
        <w:tc>
          <w:tcPr>
            <w:tcW w:w="0" w:type="auto"/>
            <w:hideMark/>
          </w:tcPr>
          <w:p w14:paraId="44C10644" w14:textId="77777777" w:rsidR="00DF17C4" w:rsidRDefault="00DF1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Stockout Rate ≤ 3%, Fill Rate ≥ 95%</w:t>
            </w:r>
          </w:p>
        </w:tc>
      </w:tr>
      <w:tr w:rsidR="00DF17C4" w14:paraId="06AC39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0C323" w14:textId="77777777" w:rsidR="00DF17C4" w:rsidRDefault="00DF17C4">
            <w:r>
              <w:t>Reporting</w:t>
            </w:r>
          </w:p>
        </w:tc>
        <w:tc>
          <w:tcPr>
            <w:tcW w:w="0" w:type="auto"/>
            <w:hideMark/>
          </w:tcPr>
          <w:p w14:paraId="505B0429" w14:textId="77777777" w:rsidR="00DF17C4" w:rsidRDefault="00DF1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5-page interactive Power BI dashboard for all stakeholders</w:t>
            </w:r>
          </w:p>
        </w:tc>
        <w:tc>
          <w:tcPr>
            <w:tcW w:w="0" w:type="auto"/>
            <w:hideMark/>
          </w:tcPr>
          <w:p w14:paraId="4EBB68B1" w14:textId="77777777" w:rsidR="00DF17C4" w:rsidRDefault="00DF1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8 KPIs visible, 4 slicers active</w:t>
            </w:r>
          </w:p>
        </w:tc>
      </w:tr>
    </w:tbl>
    <w:p w14:paraId="33E0ED63" w14:textId="77777777" w:rsidR="00DF17C4" w:rsidRDefault="00DF17C4">
      <w:pPr>
        <w:rPr>
          <w:kern w:val="2"/>
          <w14:ligatures w14:val="standardContextual"/>
        </w:rPr>
      </w:pPr>
    </w:p>
    <w:p w14:paraId="7BD27F69" w14:textId="77777777" w:rsidR="00DF17C4" w:rsidRDefault="00DF17C4">
      <w:pPr>
        <w:pStyle w:val="Heading3"/>
        <w:rPr>
          <w:kern w:val="2"/>
          <w14:ligatures w14:val="standardContextual"/>
        </w:rPr>
      </w:pPr>
      <w:r>
        <w:t>Gap Summary</w:t>
      </w:r>
    </w:p>
    <w:p w14:paraId="3862DD1F" w14:textId="77777777" w:rsidR="00DF17C4" w:rsidRDefault="00DF17C4">
      <w:pPr>
        <w:spacing w:after="160"/>
        <w:rPr>
          <w:kern w:val="2"/>
          <w14:ligatures w14:val="standardContextual"/>
        </w:rPr>
      </w:pPr>
      <w:r>
        <w:t>The gap between AS-IS and TO-BE states was addressed through five analytical workstreams — delivery performance analysis, demand forecasting, supplier segmentation, cost attribution, and root cause regression analysis. Each workstream directly maps to a business requirement in the RTM.</w:t>
      </w:r>
    </w:p>
    <w:p w14:paraId="775C2D2E" w14:textId="77777777" w:rsidR="00DF17C4" w:rsidRDefault="00DF17C4">
      <w:pPr>
        <w:spacing w:after="160"/>
      </w:pPr>
    </w:p>
    <w:p w14:paraId="749178FC" w14:textId="77777777" w:rsidR="00DF17C4" w:rsidRDefault="00DF17C4">
      <w:pPr>
        <w:spacing w:after="160"/>
      </w:pPr>
    </w:p>
    <w:p w14:paraId="7C2D76F5" w14:textId="77777777" w:rsidR="008A3FDD" w:rsidRDefault="008A3FDD">
      <w:pPr>
        <w:pBdr>
          <w:bottom w:val="single" w:sz="6" w:space="1" w:color="AAAAAA"/>
        </w:pBdr>
        <w:spacing w:before="120" w:after="240"/>
      </w:pPr>
    </w:p>
    <w:p w14:paraId="7739A144" w14:textId="77777777" w:rsidR="008A3FDD" w:rsidRDefault="00000000">
      <w:pPr>
        <w:pStyle w:val="Heading1"/>
      </w:pPr>
      <w:r>
        <w:t>3. Dataset Overview and Data Quality</w:t>
      </w:r>
    </w:p>
    <w:p w14:paraId="78ECAF1A" w14:textId="77777777" w:rsidR="008A3FDD" w:rsidRDefault="00000000">
      <w:pPr>
        <w:pStyle w:val="Heading2"/>
      </w:pPr>
      <w:r>
        <w:t>3.1 Dataset Structure</w:t>
      </w:r>
    </w:p>
    <w:p w14:paraId="2B066CF6" w14:textId="77777777" w:rsidR="008A3FDD" w:rsidRDefault="00000000">
      <w:pPr>
        <w:spacing w:after="160"/>
      </w:pPr>
      <w:r>
        <w:t>The dataset consists of five linked tables:</w:t>
      </w:r>
    </w:p>
    <w:p w14:paraId="308EDE3A" w14:textId="1FB37E85" w:rsidR="008A3F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Orders — 10,000 rows, 25+ columns: core transactional data covering orders, deliveries, costs, and </w:t>
      </w:r>
      <w:r w:rsidR="00F0044E">
        <w:t>delays.</w:t>
      </w:r>
    </w:p>
    <w:p w14:paraId="73F02E22" w14:textId="4374C2AC" w:rsidR="008A3F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Suppliers — 15 rows, 11 columns: supplier performance metrics used for cluster </w:t>
      </w:r>
      <w:r w:rsidR="00F0044E">
        <w:t>analysis.</w:t>
      </w:r>
    </w:p>
    <w:p w14:paraId="6026D11A" w14:textId="539BD418" w:rsidR="008A3F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Inventory — 6,000 rows, 13+ columns: monthly stock levels for 200 SKUs across 30 </w:t>
      </w:r>
      <w:r w:rsidR="00F0044E">
        <w:t>months.</w:t>
      </w:r>
    </w:p>
    <w:p w14:paraId="4C30AAEF" w14:textId="77777777" w:rsidR="008A3FDD" w:rsidRDefault="00000000">
      <w:pPr>
        <w:pStyle w:val="ListParagraph"/>
        <w:numPr>
          <w:ilvl w:val="0"/>
          <w:numId w:val="2"/>
        </w:numPr>
        <w:spacing w:after="80"/>
      </w:pPr>
      <w:r>
        <w:t>Monthly_KPI_Summary — 30 rows: pre-aggregated KPIs by month for dashboard use</w:t>
      </w:r>
    </w:p>
    <w:p w14:paraId="021A8086" w14:textId="6BDEC9DD" w:rsidR="008A3F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Data_Dictionary — 48 field definitions covering all columns across the </w:t>
      </w:r>
      <w:r w:rsidR="00F0044E">
        <w:t>workbook.</w:t>
      </w:r>
    </w:p>
    <w:p w14:paraId="4DC14528" w14:textId="77777777" w:rsidR="008A3FDD" w:rsidRDefault="00000000">
      <w:pPr>
        <w:pStyle w:val="Heading2"/>
      </w:pPr>
      <w:r>
        <w:t>3.2 Data Quality Audit</w:t>
      </w:r>
    </w:p>
    <w:p w14:paraId="0A86FD62" w14:textId="77777777" w:rsidR="008A3FDD" w:rsidRDefault="00000000">
      <w:pPr>
        <w:spacing w:after="160"/>
      </w:pPr>
      <w:r>
        <w:lastRenderedPageBreak/>
        <w:t>A full audit of the Orders table was performed prior to analysis:</w:t>
      </w:r>
    </w:p>
    <w:p w14:paraId="77B347A7" w14:textId="6D0A0058" w:rsidR="008A3F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Row count: 10,000 orders, 0 duplicate Order_IDs, 0 duplicate </w:t>
      </w:r>
      <w:r w:rsidR="00F0044E">
        <w:t>rows.</w:t>
      </w:r>
    </w:p>
    <w:p w14:paraId="33D0D492" w14:textId="50E15998" w:rsidR="008A3F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Null values: none found in any column of the cleaned Orders </w:t>
      </w:r>
      <w:r w:rsidR="00F0044E">
        <w:t>table.</w:t>
      </w:r>
    </w:p>
    <w:p w14:paraId="6D77A51A" w14:textId="35006432" w:rsidR="008A3F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 types: confirmed consistent date formats and categorical field values (8 carriers, 7 regions) after </w:t>
      </w:r>
      <w:r w:rsidR="00F0044E">
        <w:t>standardization.</w:t>
      </w:r>
    </w:p>
    <w:p w14:paraId="2205BBE6" w14:textId="77777777" w:rsidR="008A3FDD" w:rsidRDefault="00000000">
      <w:pPr>
        <w:spacing w:after="160"/>
      </w:pPr>
      <w:r>
        <w:rPr>
          <w:i/>
          <w:iCs/>
          <w:color w:val="595959"/>
        </w:rPr>
        <w:t>Because this dataset was supplied in a pre-cleaned analytical state, the data wrangling effort centered on building derived columns, calculated fields, and pivot summaries rather than repairing structurally messy data — a distinction documented here for transparency.</w:t>
      </w:r>
    </w:p>
    <w:p w14:paraId="51063E4C" w14:textId="77777777" w:rsidR="008A3FDD" w:rsidRDefault="008A3FDD">
      <w:pPr>
        <w:pBdr>
          <w:bottom w:val="single" w:sz="6" w:space="1" w:color="AAAAAA"/>
        </w:pBdr>
        <w:spacing w:before="120" w:after="240"/>
      </w:pPr>
    </w:p>
    <w:p w14:paraId="7790B7FB" w14:textId="77777777" w:rsidR="008A3FDD" w:rsidRDefault="00000000">
      <w:pPr>
        <w:pStyle w:val="Heading1"/>
      </w:pPr>
      <w:r>
        <w:t>4. Excel and SQL Analysis Highlights</w:t>
      </w:r>
    </w:p>
    <w:p w14:paraId="05EF183D" w14:textId="77777777" w:rsidR="008A3FDD" w:rsidRDefault="00000000">
      <w:pPr>
        <w:pStyle w:val="Heading2"/>
      </w:pPr>
      <w:r>
        <w:t>4.1 Calculated Columns and Pivot Summaries</w:t>
      </w:r>
    </w:p>
    <w:p w14:paraId="40819FF8" w14:textId="77777777" w:rsidR="008A3FDD" w:rsidRDefault="00000000">
      <w:pPr>
        <w:spacing w:after="160"/>
      </w:pPr>
      <w:r>
        <w:t>Calculated fields were added to support analysis: Delivery Delay Days, Lead Time, and Cost per Unit Shipped. Pivot table summaries were built across three dimensions — carrier, region, and product category — to surface patterns before formal modeling.</w:t>
      </w:r>
    </w:p>
    <w:p w14:paraId="47E2D5B2" w14:textId="77777777" w:rsidR="008A3FDD" w:rsidRDefault="00000000">
      <w:pPr>
        <w:pStyle w:val="Heading2"/>
      </w:pPr>
      <w:r>
        <w:t>4.2 SQL Extraction, Aggregation, and Window Functions</w:t>
      </w:r>
    </w:p>
    <w:p w14:paraId="642CD704" w14:textId="77777777" w:rsidR="008A3FDD" w:rsidRDefault="00000000">
      <w:pPr>
        <w:spacing w:after="160"/>
      </w:pPr>
      <w:r>
        <w:t>SQL scripts were written to extract, aggregate, and rank data directly from the relational schema (orders, suppliers, inventory):</w:t>
      </w:r>
    </w:p>
    <w:p w14:paraId="2741ADFD" w14:textId="345EBE57" w:rsidR="008A3FDD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Carrier performance aggregation — average delay, delay standard deviation, on-time rate, and unit shipping cost by </w:t>
      </w:r>
      <w:r w:rsidR="00F0044E">
        <w:t>carrier.</w:t>
      </w:r>
    </w:p>
    <w:p w14:paraId="1DBC8E37" w14:textId="4D0C9416" w:rsidR="008A3FDD" w:rsidRDefault="00000000">
      <w:pPr>
        <w:pStyle w:val="ListParagraph"/>
        <w:numPr>
          <w:ilvl w:val="0"/>
          <w:numId w:val="2"/>
        </w:numPr>
        <w:spacing w:after="80"/>
      </w:pPr>
      <w:r>
        <w:t>Regional carrier ranking — a DENSE_</w:t>
      </w:r>
      <w:r w:rsidR="00F0044E">
        <w:t>RANK (</w:t>
      </w:r>
      <w:r>
        <w:t>) window function identifying the two worst-performing carriers in each region</w:t>
      </w:r>
    </w:p>
    <w:p w14:paraId="65A89C82" w14:textId="77777777" w:rsidR="008A3FDD" w:rsidRDefault="00000000">
      <w:pPr>
        <w:pStyle w:val="ListParagraph"/>
        <w:numPr>
          <w:ilvl w:val="0"/>
          <w:numId w:val="2"/>
        </w:numPr>
        <w:spacing w:after="80"/>
      </w:pPr>
      <w:r>
        <w:t>Rolling 3-month SKU demand average — a windowed AVG() over ordered monthly sales partitions, used as an input to the forecasting stage</w:t>
      </w:r>
    </w:p>
    <w:p w14:paraId="108920D7" w14:textId="77777777" w:rsidR="008A3FDD" w:rsidRDefault="008A3FDD">
      <w:pPr>
        <w:pBdr>
          <w:bottom w:val="single" w:sz="6" w:space="1" w:color="AAAAAA"/>
        </w:pBdr>
        <w:spacing w:before="120" w:after="240"/>
      </w:pPr>
    </w:p>
    <w:p w14:paraId="77BD8403" w14:textId="77777777" w:rsidR="008A3FDD" w:rsidRDefault="00000000">
      <w:pPr>
        <w:pStyle w:val="Heading1"/>
      </w:pPr>
      <w:r>
        <w:t>5. Delivery Performance and Root-Cause Analysis</w:t>
      </w:r>
    </w:p>
    <w:p w14:paraId="3C7E51DD" w14:textId="77777777" w:rsidR="008A3FDD" w:rsidRDefault="00000000">
      <w:pPr>
        <w:pStyle w:val="Heading2"/>
      </w:pPr>
      <w:r>
        <w:t>5.1 Carrier Performance</w:t>
      </w:r>
    </w:p>
    <w:p w14:paraId="55175EFB" w14:textId="77777777" w:rsidR="008A3FDD" w:rsidRDefault="00000000">
      <w:pPr>
        <w:spacing w:after="160"/>
      </w:pPr>
      <w:r>
        <w:t>On-time delivery performance varies sharply by carrier. DHL is the strongest performer; XpressBees is the weakest, with an on-time rate of well under 1%.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580"/>
        <w:gridCol w:w="2180"/>
      </w:tblGrid>
      <w:tr w:rsidR="008A3FDD" w14:paraId="6B8D0F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398E6" w14:textId="77777777" w:rsidR="008A3F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Carrier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DA7F7" w14:textId="77777777" w:rsidR="008A3F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84AD" w14:textId="77777777" w:rsidR="008A3F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Delay (days)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BA170" w14:textId="77777777" w:rsidR="008A3F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On-Time %</w:t>
            </w:r>
          </w:p>
        </w:tc>
      </w:tr>
      <w:tr w:rsidR="008A3FDD" w14:paraId="1FD64F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CABE9" w14:textId="77777777" w:rsidR="008A3FDD" w:rsidRDefault="00000000">
            <w:r>
              <w:rPr>
                <w:b/>
                <w:bCs/>
                <w:color w:val="1E7B45"/>
                <w:sz w:val="20"/>
                <w:szCs w:val="20"/>
              </w:rPr>
              <w:t>DHL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CCB5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1,287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90509" w14:textId="77777777" w:rsidR="008A3FDD" w:rsidRDefault="00000000">
            <w:pPr>
              <w:jc w:val="center"/>
            </w:pPr>
            <w:r>
              <w:rPr>
                <w:b/>
                <w:bCs/>
                <w:color w:val="1E7B45"/>
                <w:sz w:val="20"/>
                <w:szCs w:val="20"/>
              </w:rPr>
              <w:t>1.35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F678" w14:textId="77777777" w:rsidR="008A3FDD" w:rsidRDefault="00000000">
            <w:pPr>
              <w:jc w:val="center"/>
            </w:pPr>
            <w:r>
              <w:rPr>
                <w:b/>
                <w:bCs/>
                <w:color w:val="1E7B45"/>
                <w:sz w:val="20"/>
                <w:szCs w:val="20"/>
              </w:rPr>
              <w:t>47.94%</w:t>
            </w:r>
          </w:p>
        </w:tc>
      </w:tr>
      <w:tr w:rsidR="008A3FDD" w14:paraId="226D66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02AC1" w14:textId="77777777" w:rsidR="008A3FDD" w:rsidRDefault="00000000">
            <w:r>
              <w:rPr>
                <w:sz w:val="20"/>
                <w:szCs w:val="20"/>
              </w:rPr>
              <w:t>FedEx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2B3F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1,243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8D08D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1.58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581B3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37.49%</w:t>
            </w:r>
          </w:p>
        </w:tc>
      </w:tr>
      <w:tr w:rsidR="008A3FDD" w14:paraId="49AFD7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7D81B" w14:textId="77777777" w:rsidR="008A3FDD" w:rsidRDefault="00000000">
            <w:r>
              <w:rPr>
                <w:sz w:val="20"/>
                <w:szCs w:val="20"/>
              </w:rPr>
              <w:t>UPS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6091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1,205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95F0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2.14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FC405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15.10%</w:t>
            </w:r>
          </w:p>
        </w:tc>
      </w:tr>
      <w:tr w:rsidR="008A3FDD" w14:paraId="1A052F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C680" w14:textId="77777777" w:rsidR="008A3FDD" w:rsidRDefault="00000000">
            <w:r>
              <w:rPr>
                <w:sz w:val="20"/>
                <w:szCs w:val="20"/>
              </w:rPr>
              <w:lastRenderedPageBreak/>
              <w:t>Blue Dart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F113C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1,210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2B00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2.34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70BF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14.55%</w:t>
            </w:r>
          </w:p>
        </w:tc>
      </w:tr>
      <w:tr w:rsidR="008A3FDD" w14:paraId="189954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57C7D" w14:textId="77777777" w:rsidR="008A3FDD" w:rsidRDefault="00000000">
            <w:r>
              <w:rPr>
                <w:sz w:val="20"/>
                <w:szCs w:val="20"/>
              </w:rPr>
              <w:t>Delhivery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B9E6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1,273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99B60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2.35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A7E3A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11.55%</w:t>
            </w:r>
          </w:p>
        </w:tc>
      </w:tr>
      <w:tr w:rsidR="008A3FDD" w14:paraId="2CDB4C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E63D" w14:textId="77777777" w:rsidR="008A3FDD" w:rsidRDefault="00000000">
            <w:r>
              <w:rPr>
                <w:sz w:val="20"/>
                <w:szCs w:val="20"/>
              </w:rPr>
              <w:t>Aramex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589AE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1,254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F91AE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3.06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A645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2.15%</w:t>
            </w:r>
          </w:p>
        </w:tc>
      </w:tr>
      <w:tr w:rsidR="008A3FDD" w14:paraId="0C35F9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5278" w14:textId="77777777" w:rsidR="008A3FDD" w:rsidRDefault="00000000">
            <w:r>
              <w:rPr>
                <w:sz w:val="20"/>
                <w:szCs w:val="20"/>
              </w:rPr>
              <w:t>DTDC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1C02E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1,259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5E7C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3.32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703F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2.22%</w:t>
            </w:r>
          </w:p>
        </w:tc>
      </w:tr>
      <w:tr w:rsidR="008A3FDD" w14:paraId="5CB0F6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CC593" w14:textId="77777777" w:rsidR="008A3FDD" w:rsidRDefault="00000000">
            <w:r>
              <w:rPr>
                <w:b/>
                <w:bCs/>
                <w:color w:val="C0392B"/>
                <w:sz w:val="20"/>
                <w:szCs w:val="20"/>
              </w:rPr>
              <w:t>XpressBees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48E2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1,269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CCD95" w14:textId="77777777" w:rsidR="008A3FD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4.13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7B1E7" w14:textId="77777777" w:rsidR="008A3FD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0.39%</w:t>
            </w:r>
          </w:p>
        </w:tc>
      </w:tr>
    </w:tbl>
    <w:p w14:paraId="0BFC21A2" w14:textId="77777777" w:rsidR="008A3FDD" w:rsidRDefault="008A3FDD">
      <w:pPr>
        <w:spacing w:before="200"/>
      </w:pPr>
    </w:p>
    <w:p w14:paraId="62A2FC0C" w14:textId="77777777" w:rsidR="008A3FDD" w:rsidRDefault="00000000">
      <w:pPr>
        <w:pStyle w:val="Heading2"/>
      </w:pPr>
      <w:r>
        <w:t>5.2 Regional Performance</w:t>
      </w:r>
    </w:p>
    <w:p w14:paraId="21AC3B0B" w14:textId="77777777" w:rsidR="008A3FDD" w:rsidRDefault="00000000">
      <w:pPr>
        <w:spacing w:after="160"/>
      </w:pPr>
      <w:r>
        <w:t>Delivery delay is also strongly regional. The Northeast and Northwest regions are the hardest to reach, with on-time rates under 5%, even though they are served by the same carrier mix as better-performing regions — indicating the issue is route/infrastructure-driven, not purely carrier-driven.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580"/>
        <w:gridCol w:w="2180"/>
      </w:tblGrid>
      <w:tr w:rsidR="008A3FDD" w14:paraId="6F70B9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1D0F0" w14:textId="77777777" w:rsidR="008A3F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96D04" w14:textId="77777777" w:rsidR="008A3F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0686" w14:textId="77777777" w:rsidR="008A3F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Delay (days)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14E1" w14:textId="77777777" w:rsidR="008A3F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On-Time %</w:t>
            </w:r>
          </w:p>
        </w:tc>
      </w:tr>
      <w:tr w:rsidR="008A3FDD" w14:paraId="7829A1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CF174" w14:textId="77777777" w:rsidR="008A3FDD" w:rsidRDefault="00000000">
            <w:r>
              <w:rPr>
                <w:sz w:val="20"/>
                <w:szCs w:val="20"/>
              </w:rPr>
              <w:t>South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7BD98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1,371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12A83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1.86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8C990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28.81%</w:t>
            </w:r>
          </w:p>
        </w:tc>
      </w:tr>
      <w:tr w:rsidR="008A3FDD" w14:paraId="49741A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C8087" w14:textId="77777777" w:rsidR="008A3FDD" w:rsidRDefault="00000000">
            <w:r>
              <w:rPr>
                <w:sz w:val="20"/>
                <w:szCs w:val="20"/>
              </w:rPr>
              <w:t>West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B9FAB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1,472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9613A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1.92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3BC86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28.46%</w:t>
            </w:r>
          </w:p>
        </w:tc>
      </w:tr>
      <w:tr w:rsidR="008A3FDD" w14:paraId="3429C6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A870" w14:textId="77777777" w:rsidR="008A3FDD" w:rsidRDefault="00000000">
            <w:r>
              <w:rPr>
                <w:sz w:val="20"/>
                <w:szCs w:val="20"/>
              </w:rPr>
              <w:t>North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8C55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1,399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962D6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1.83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69F0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27.16%</w:t>
            </w:r>
          </w:p>
        </w:tc>
      </w:tr>
      <w:tr w:rsidR="008A3FDD" w14:paraId="249E51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1CE36" w14:textId="77777777" w:rsidR="008A3FDD" w:rsidRDefault="00000000">
            <w:r>
              <w:rPr>
                <w:sz w:val="20"/>
                <w:szCs w:val="20"/>
              </w:rPr>
              <w:t>Central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B313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1,429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C85B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2.38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D067A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16.17%</w:t>
            </w:r>
          </w:p>
        </w:tc>
      </w:tr>
      <w:tr w:rsidR="008A3FDD" w14:paraId="5C0BC3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263D9" w14:textId="77777777" w:rsidR="008A3FDD" w:rsidRDefault="00000000">
            <w:r>
              <w:rPr>
                <w:sz w:val="20"/>
                <w:szCs w:val="20"/>
              </w:rPr>
              <w:t>East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71C6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1,423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268A8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2.71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5E9EC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9.49%</w:t>
            </w:r>
          </w:p>
        </w:tc>
      </w:tr>
      <w:tr w:rsidR="008A3FDD" w14:paraId="463763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AEF7E" w14:textId="77777777" w:rsidR="008A3FDD" w:rsidRDefault="00000000">
            <w:r>
              <w:rPr>
                <w:b/>
                <w:bCs/>
                <w:color w:val="C0392B"/>
                <w:sz w:val="20"/>
                <w:szCs w:val="20"/>
              </w:rPr>
              <w:t>Northwest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29729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1,445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D9FF6" w14:textId="77777777" w:rsidR="008A3FD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3.25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E96AE" w14:textId="77777777" w:rsidR="008A3FD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4.78%</w:t>
            </w:r>
          </w:p>
        </w:tc>
      </w:tr>
      <w:tr w:rsidR="008A3FDD" w14:paraId="325E42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CFF0" w14:textId="77777777" w:rsidR="008A3FDD" w:rsidRDefault="00000000">
            <w:r>
              <w:rPr>
                <w:b/>
                <w:bCs/>
                <w:color w:val="C0392B"/>
                <w:sz w:val="20"/>
                <w:szCs w:val="20"/>
              </w:rPr>
              <w:t>Northeast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513B0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1,461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1730" w14:textId="77777777" w:rsidR="008A3FD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3.73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35484" w14:textId="77777777" w:rsidR="008A3FD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1.30%</w:t>
            </w:r>
          </w:p>
        </w:tc>
      </w:tr>
    </w:tbl>
    <w:p w14:paraId="651B3D88" w14:textId="77777777" w:rsidR="008A3FDD" w:rsidRDefault="008A3FDD">
      <w:pPr>
        <w:spacing w:before="200"/>
      </w:pPr>
    </w:p>
    <w:p w14:paraId="611472EE" w14:textId="77777777" w:rsidR="008A3FDD" w:rsidRDefault="00000000">
      <w:pPr>
        <w:pStyle w:val="Heading2"/>
      </w:pPr>
      <w:r>
        <w:t>5.3 Regression Model — What Drives Delivery Delay</w:t>
      </w:r>
    </w:p>
    <w:p w14:paraId="6889FD35" w14:textId="77777777" w:rsidR="008A3FDD" w:rsidRDefault="00000000">
      <w:pPr>
        <w:spacing w:after="160"/>
      </w:pPr>
      <w:r>
        <w:t>A multiple linear regression was built to predict Delivery_Delay_Days from shipment weight, shipment distance, carrier, product category, season, and warehouse region (full dummy-variable encoding).</w:t>
      </w:r>
    </w:p>
    <w:p w14:paraId="10C3D7E9" w14:textId="77777777" w:rsidR="008A3FDD" w:rsidRDefault="00000000">
      <w:pPr>
        <w:pStyle w:val="ListParagraph"/>
        <w:numPr>
          <w:ilvl w:val="0"/>
          <w:numId w:val="2"/>
        </w:numPr>
        <w:spacing w:after="80"/>
      </w:pPr>
      <w:r>
        <w:t>R² = 0.173 (Adjusted R² = 0.171) — the model explains roughly 17% of the variance in delivery delay</w:t>
      </w:r>
    </w:p>
    <w:p w14:paraId="443ED093" w14:textId="77777777" w:rsidR="008A3FDD" w:rsidRDefault="00000000">
      <w:pPr>
        <w:pStyle w:val="ListParagraph"/>
        <w:numPr>
          <w:ilvl w:val="0"/>
          <w:numId w:val="2"/>
        </w:numPr>
        <w:spacing w:after="80"/>
      </w:pPr>
      <w:r>
        <w:t>RMSE = 2.07 days, MAE = 1.41 days</w:t>
      </w:r>
    </w:p>
    <w:p w14:paraId="38D46375" w14:textId="77777777" w:rsidR="008A3FDD" w:rsidRDefault="00000000">
      <w:pPr>
        <w:pStyle w:val="ListParagraph"/>
        <w:numPr>
          <w:ilvl w:val="0"/>
          <w:numId w:val="2"/>
        </w:numPr>
        <w:spacing w:after="80"/>
      </w:pPr>
      <w:r>
        <w:t>Sample size: 10,000 orders</w:t>
      </w:r>
    </w:p>
    <w:p w14:paraId="46F840FE" w14:textId="77777777" w:rsidR="008A3FDD" w:rsidRDefault="00000000">
      <w:pPr>
        <w:spacing w:after="160"/>
      </w:pPr>
      <w:r>
        <w:t>Carrier choice is the dominant driver of delay, with effects far larger than weight or distance: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5060"/>
      </w:tblGrid>
      <w:tr w:rsidR="008A3FDD" w14:paraId="29D63C9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220AC" w14:textId="77777777" w:rsidR="008A3FDD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3C80" w14:textId="77777777" w:rsidR="008A3FDD" w:rsidRDefault="00000000">
            <w:r>
              <w:rPr>
                <w:b/>
                <w:bCs/>
                <w:color w:val="FFFFFF"/>
                <w:sz w:val="20"/>
                <w:szCs w:val="20"/>
              </w:rPr>
              <w:t>Coefficient (days)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9E86B" w14:textId="77777777" w:rsidR="008A3FDD" w:rsidRDefault="00000000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8A3FDD" w14:paraId="6545787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05AE2" w14:textId="77777777" w:rsidR="008A3FDD" w:rsidRDefault="00000000">
            <w:r>
              <w:rPr>
                <w:b/>
                <w:bCs/>
                <w:sz w:val="20"/>
                <w:szCs w:val="20"/>
              </w:rPr>
              <w:t>Carrier: DHL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B4FA4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-1.74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B219E" w14:textId="77777777" w:rsidR="008A3FDD" w:rsidRDefault="00000000">
            <w:r>
              <w:rPr>
                <w:sz w:val="20"/>
                <w:szCs w:val="20"/>
              </w:rPr>
              <w:t>Reduces predicted delay vs. Aramex baseline</w:t>
            </w:r>
          </w:p>
        </w:tc>
      </w:tr>
      <w:tr w:rsidR="008A3FDD" w14:paraId="13C5BA9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B9E23" w14:textId="77777777" w:rsidR="008A3FDD" w:rsidRDefault="00000000">
            <w:r>
              <w:rPr>
                <w:b/>
                <w:bCs/>
                <w:sz w:val="20"/>
                <w:szCs w:val="20"/>
              </w:rPr>
              <w:t>Carrier: FedEx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E78EF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-1.51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248F4" w14:textId="77777777" w:rsidR="008A3FDD" w:rsidRDefault="00000000">
            <w:r>
              <w:rPr>
                <w:sz w:val="20"/>
                <w:szCs w:val="20"/>
              </w:rPr>
              <w:t>Reduces predicted delay vs. Aramex baseline</w:t>
            </w:r>
          </w:p>
        </w:tc>
      </w:tr>
      <w:tr w:rsidR="008A3FDD" w14:paraId="382B18E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32551" w14:textId="77777777" w:rsidR="008A3FDD" w:rsidRDefault="00000000">
            <w:r>
              <w:rPr>
                <w:b/>
                <w:bCs/>
                <w:sz w:val="20"/>
                <w:szCs w:val="20"/>
              </w:rPr>
              <w:t>Carrier: XpressBees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69B1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+1.05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2A043" w14:textId="77777777" w:rsidR="008A3FDD" w:rsidRDefault="00000000">
            <w:r>
              <w:rPr>
                <w:sz w:val="20"/>
                <w:szCs w:val="20"/>
              </w:rPr>
              <w:t>Increases predicted delay vs. Aramex baseline</w:t>
            </w:r>
          </w:p>
        </w:tc>
      </w:tr>
      <w:tr w:rsidR="008A3FDD" w14:paraId="62EA437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8668F" w14:textId="77777777" w:rsidR="008A3FDD" w:rsidRDefault="00000000">
            <w:r>
              <w:rPr>
                <w:b/>
                <w:bCs/>
                <w:sz w:val="20"/>
                <w:szCs w:val="20"/>
              </w:rPr>
              <w:lastRenderedPageBreak/>
              <w:t>Carrier: UPS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35EB5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-0.93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508AA" w14:textId="77777777" w:rsidR="008A3FDD" w:rsidRDefault="00000000">
            <w:r>
              <w:rPr>
                <w:sz w:val="20"/>
                <w:szCs w:val="20"/>
              </w:rPr>
              <w:t>Reduces predicted delay vs. Aramex baseline</w:t>
            </w:r>
          </w:p>
        </w:tc>
      </w:tr>
      <w:tr w:rsidR="008A3FDD" w14:paraId="6F21DB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00AD" w14:textId="77777777" w:rsidR="008A3FDD" w:rsidRDefault="00000000">
            <w:r>
              <w:rPr>
                <w:b/>
                <w:bCs/>
                <w:sz w:val="20"/>
                <w:szCs w:val="20"/>
              </w:rPr>
              <w:t>Shipment Weight (kg)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BB86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+0.026 / kg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D2E0" w14:textId="77777777" w:rsidR="008A3FDD" w:rsidRDefault="00000000">
            <w:r>
              <w:rPr>
                <w:sz w:val="20"/>
                <w:szCs w:val="20"/>
              </w:rPr>
              <w:t>Each extra kg adds ~0.03 days of delay</w:t>
            </w:r>
          </w:p>
        </w:tc>
      </w:tr>
      <w:tr w:rsidR="008A3FDD" w14:paraId="71350D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8EED4" w14:textId="77777777" w:rsidR="008A3FDD" w:rsidRDefault="00000000">
            <w:r>
              <w:rPr>
                <w:b/>
                <w:bCs/>
                <w:sz w:val="20"/>
                <w:szCs w:val="20"/>
              </w:rPr>
              <w:t>Shipment Distance (km)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EFA7C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+0.00002 / km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C14C1" w14:textId="77777777" w:rsidR="008A3FDD" w:rsidRDefault="00000000">
            <w:r>
              <w:rPr>
                <w:sz w:val="20"/>
                <w:szCs w:val="20"/>
              </w:rPr>
              <w:t>Statistically not significant (p = 0.40)</w:t>
            </w:r>
          </w:p>
        </w:tc>
      </w:tr>
    </w:tbl>
    <w:p w14:paraId="1B5F99B0" w14:textId="77777777" w:rsidR="008A3FDD" w:rsidRDefault="00000000">
      <w:pPr>
        <w:spacing w:after="160"/>
      </w:pPr>
      <w:r>
        <w:rPr>
          <w:i/>
          <w:iCs/>
        </w:rPr>
        <w:t>Shipment distance was not statistically significant (p = 0.40) once carrier and weight were controlled for — a useful finding, since it means cost-saving route changes do not need to trade off against delivery speed.</w:t>
      </w:r>
    </w:p>
    <w:p w14:paraId="3D97C689" w14:textId="77777777" w:rsidR="008A3FDD" w:rsidRDefault="008A3FDD">
      <w:pPr>
        <w:pBdr>
          <w:bottom w:val="single" w:sz="6" w:space="1" w:color="AAAAAA"/>
        </w:pBdr>
        <w:spacing w:before="120" w:after="240"/>
      </w:pPr>
    </w:p>
    <w:p w14:paraId="02A84832" w14:textId="77777777" w:rsidR="008A3FDD" w:rsidRDefault="00000000">
      <w:pPr>
        <w:pStyle w:val="Heading1"/>
      </w:pPr>
      <w:r>
        <w:t>6. Demand Forecasting</w:t>
      </w:r>
    </w:p>
    <w:p w14:paraId="0CE65227" w14:textId="472541AF" w:rsidR="008A3FDD" w:rsidRDefault="00000000">
      <w:pPr>
        <w:spacing w:after="160"/>
      </w:pPr>
      <w:r>
        <w:t xml:space="preserve">Monthly order volume trends were </w:t>
      </w:r>
      <w:r w:rsidR="00047559">
        <w:t>analysed</w:t>
      </w:r>
      <w:r>
        <w:t xml:space="preserve"> for the top 20 SKUs by total units sold, using two methods: a 3-month Moving Average and Exponential Smoothing (α = 0.30).</w:t>
      </w:r>
    </w:p>
    <w:p w14:paraId="7AEA472E" w14:textId="77777777" w:rsidR="008A3FDD" w:rsidRDefault="00000000">
      <w:pPr>
        <w:pStyle w:val="Heading2"/>
      </w:pPr>
      <w:r>
        <w:t>6.1 Forecast Accuracy</w:t>
      </w:r>
    </w:p>
    <w:p w14:paraId="08B9BC92" w14:textId="77777777" w:rsidR="008A3FDD" w:rsidRDefault="00000000">
      <w:pPr>
        <w:spacing w:after="160"/>
      </w:pPr>
      <w:r>
        <w:t>Across the top 20 SKUs, average forecast accuracy was:</w:t>
      </w:r>
    </w:p>
    <w:p w14:paraId="5883E3F6" w14:textId="77777777" w:rsidR="008A3FDD" w:rsidRDefault="00000000">
      <w:pPr>
        <w:pStyle w:val="ListParagraph"/>
        <w:numPr>
          <w:ilvl w:val="0"/>
          <w:numId w:val="2"/>
        </w:numPr>
        <w:spacing w:after="80"/>
      </w:pPr>
      <w:r>
        <w:t>Moving Average: MAPE ≈ 76.7%</w:t>
      </w:r>
    </w:p>
    <w:p w14:paraId="56CD33AD" w14:textId="77777777" w:rsidR="008A3FDD" w:rsidRDefault="00000000">
      <w:pPr>
        <w:pStyle w:val="ListParagraph"/>
        <w:numPr>
          <w:ilvl w:val="0"/>
          <w:numId w:val="2"/>
        </w:numPr>
        <w:spacing w:after="80"/>
      </w:pPr>
      <w:r>
        <w:t>Exponential Smoothing: MAPE ≈ 83.5%</w:t>
      </w:r>
    </w:p>
    <w:p w14:paraId="19444F7D" w14:textId="77777777" w:rsidR="008A3FDD" w:rsidRDefault="00000000">
      <w:pPr>
        <w:spacing w:after="160"/>
      </w:pPr>
      <w:r>
        <w:t>Both methods fall well short of the ≤15% MAPE target. This is reported transparently rather than adjusted to look better: SKU-level monthly demand in this dataset is highly volatile and intermittent (large swings between consecutive months for the same SKU), which simple time-series methods are not well suited to capture. This is itself a finding — it indicates that inventory planning for these SKUs should rely on safety-stock buffers and reorder-point logic rather than on point forecasts alone, until a more sophisticated method (e.g. one that incorporates promotions, seasonality indices, or causal demand drivers) is adopted.</w:t>
      </w:r>
    </w:p>
    <w:p w14:paraId="6CAA2781" w14:textId="77777777" w:rsidR="008A3FDD" w:rsidRDefault="00000000">
      <w:pPr>
        <w:pStyle w:val="Heading2"/>
      </w:pPr>
      <w:r>
        <w:t>6.2 Assumptions and Seasonality</w:t>
      </w:r>
    </w:p>
    <w:p w14:paraId="56BA6970" w14:textId="77777777" w:rsidR="008A3FDD" w:rsidRDefault="00000000">
      <w:pPr>
        <w:pStyle w:val="ListParagraph"/>
        <w:numPr>
          <w:ilvl w:val="0"/>
          <w:numId w:val="2"/>
        </w:numPr>
        <w:spacing w:after="80"/>
      </w:pPr>
      <w:r>
        <w:t>Moving average uses the prior 3 months of actuals; exponential smoothing uses a smoothing constant of 0.30.</w:t>
      </w:r>
    </w:p>
    <w:p w14:paraId="486BC4FB" w14:textId="77777777" w:rsidR="008A3FDD" w:rsidRDefault="00000000">
      <w:pPr>
        <w:pStyle w:val="ListParagraph"/>
        <w:numPr>
          <w:ilvl w:val="0"/>
          <w:numId w:val="2"/>
        </w:numPr>
        <w:spacing w:after="80"/>
      </w:pPr>
      <w:r>
        <w:t>“Insufficient history” periods at the start of each SKU's series are expected, not data errors.</w:t>
      </w:r>
    </w:p>
    <w:p w14:paraId="69709C1C" w14:textId="77777777" w:rsidR="008A3FDD" w:rsidRDefault="00000000">
      <w:pPr>
        <w:pStyle w:val="ListParagraph"/>
        <w:numPr>
          <w:ilvl w:val="0"/>
          <w:numId w:val="2"/>
        </w:numPr>
        <w:spacing w:after="80"/>
      </w:pPr>
      <w:r>
        <w:t>MAPE calculations exclude periods with unavailable forecasts or zero actual units, to avoid divide-by-zero distortion.</w:t>
      </w:r>
    </w:p>
    <w:p w14:paraId="2021D097" w14:textId="77777777" w:rsidR="008A3FDD" w:rsidRDefault="00000000">
      <w:pPr>
        <w:pStyle w:val="ListParagraph"/>
        <w:numPr>
          <w:ilvl w:val="0"/>
          <w:numId w:val="2"/>
        </w:numPr>
        <w:spacing w:after="80"/>
      </w:pPr>
      <w:r>
        <w:t>Seasonality should be reviewed per SKU using the monthly peaks/troughs documented in the full forecast workbook (Top20_SKU_Forecast sheet).</w:t>
      </w:r>
    </w:p>
    <w:p w14:paraId="4C4BF258" w14:textId="77777777" w:rsidR="008A3FDD" w:rsidRDefault="008A3FDD">
      <w:pPr>
        <w:pBdr>
          <w:bottom w:val="single" w:sz="6" w:space="1" w:color="AAAAAA"/>
        </w:pBdr>
        <w:spacing w:before="120" w:after="240"/>
      </w:pPr>
    </w:p>
    <w:p w14:paraId="189CEA5F" w14:textId="77777777" w:rsidR="008A3FDD" w:rsidRDefault="00000000">
      <w:pPr>
        <w:pStyle w:val="Heading1"/>
      </w:pPr>
      <w:r>
        <w:t>7. Supplier Segmentation</w:t>
      </w:r>
    </w:p>
    <w:p w14:paraId="56D7EE2A" w14:textId="77777777" w:rsidR="008A3FDD" w:rsidRDefault="00000000">
      <w:pPr>
        <w:spacing w:after="160"/>
      </w:pPr>
      <w:r>
        <w:t xml:space="preserve">All 15 suppliers were standardized using z-scores across lead time, defect rate, fill rate, and cost per unit so each feature weighed equally in the distance calculation. K-Means clustering was performed manually in Excel (centroids seeded from risk-sorted suppliers, with assignments and centroid </w:t>
      </w:r>
      <w:r>
        <w:lastRenderedPageBreak/>
        <w:t>recomputation iterated to convergence — no Python or clustering libraries used, per project guidelines). The optimal K was selected using the Elbow Method on Within-Cluster Sum of Squares (WCSS): K = 1 → WCSS = 15.4; K = 2 → WCSS = 8.7; K = 3 → WCSS = 4.3 (elbow point — sharp improvement ends here); K = 4 → WCSS = 3.9 (marginal gain only). K = 3 was retained, producing three clusters: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3000"/>
        <w:gridCol w:w="2960"/>
      </w:tblGrid>
      <w:tr w:rsidR="008A3FDD" w14:paraId="239653D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8AF2E" w14:textId="77777777" w:rsidR="008A3FDD" w:rsidRDefault="00000000">
            <w:r>
              <w:rPr>
                <w:b/>
                <w:bCs/>
                <w:color w:val="FFFFFF"/>
                <w:sz w:val="20"/>
                <w:szCs w:val="20"/>
              </w:rPr>
              <w:t>Cluster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3D17" w14:textId="77777777" w:rsidR="008A3FDD" w:rsidRDefault="00000000">
            <w:r>
              <w:rPr>
                <w:b/>
                <w:bCs/>
                <w:color w:val="FFFFFF"/>
                <w:sz w:val="20"/>
                <w:szCs w:val="20"/>
              </w:rPr>
              <w:t>Suppliers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5A333" w14:textId="77777777" w:rsidR="008A3FDD" w:rsidRDefault="00000000">
            <w:r>
              <w:rPr>
                <w:b/>
                <w:bCs/>
                <w:color w:val="FFFFFF"/>
                <w:sz w:val="20"/>
                <w:szCs w:val="20"/>
              </w:rPr>
              <w:t>Profile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2C182" w14:textId="77777777" w:rsidR="008A3FDD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8A3FDD" w14:paraId="2AFAB77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C5BF7" w14:textId="77777777" w:rsidR="008A3FDD" w:rsidRDefault="00000000">
            <w:r>
              <w:rPr>
                <w:b/>
                <w:bCs/>
                <w:sz w:val="20"/>
                <w:szCs w:val="20"/>
              </w:rPr>
              <w:t>Preferred Partner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F749" w14:textId="77777777" w:rsidR="008A3FDD" w:rsidRDefault="00000000">
            <w:r>
              <w:rPr>
                <w:sz w:val="18"/>
                <w:szCs w:val="18"/>
              </w:rPr>
              <w:t>Bosch India, Samsung Logistics, Godrej Industries, Dabur Supply Chain, Asian Paints Supp, Cipla Pharma Supply (6)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B7C38" w14:textId="77777777" w:rsidR="008A3FDD" w:rsidRDefault="00000000">
            <w:r>
              <w:rPr>
                <w:sz w:val="20"/>
                <w:szCs w:val="20"/>
              </w:rPr>
              <w:t>Low lead time, low defect rate, high fill rate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93BE0" w14:textId="77777777" w:rsidR="008A3FDD" w:rsidRDefault="00000000">
            <w:r>
              <w:rPr>
                <w:sz w:val="20"/>
                <w:szCs w:val="20"/>
              </w:rPr>
              <w:t>Increase order volume; candidates for long-term contracts</w:t>
            </w:r>
          </w:p>
        </w:tc>
      </w:tr>
      <w:tr w:rsidR="008A3FDD" w14:paraId="5D27833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7DA8" w14:textId="77777777" w:rsidR="008A3FDD" w:rsidRDefault="00000000">
            <w:r>
              <w:rPr>
                <w:b/>
                <w:bCs/>
                <w:sz w:val="20"/>
                <w:szCs w:val="20"/>
              </w:rPr>
              <w:t>Under Watch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D8FCA" w14:textId="77777777" w:rsidR="008A3FDD" w:rsidRDefault="00000000">
            <w:r>
              <w:rPr>
                <w:sz w:val="18"/>
                <w:szCs w:val="18"/>
              </w:rPr>
              <w:t>Reliance Industries, Mahindra Logistics, Amazon Seller Svcs, ITC Agri-Business (4)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218AB" w14:textId="77777777" w:rsidR="008A3FDD" w:rsidRDefault="00000000">
            <w:r>
              <w:rPr>
                <w:sz w:val="20"/>
                <w:szCs w:val="20"/>
              </w:rPr>
              <w:t>Moderate lead time and defect rate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91B42" w14:textId="77777777" w:rsidR="008A3FDD" w:rsidRDefault="00000000">
            <w:r>
              <w:rPr>
                <w:sz w:val="20"/>
                <w:szCs w:val="20"/>
              </w:rPr>
              <w:t>Monitor monthly; set improvement checkpoints</w:t>
            </w:r>
          </w:p>
        </w:tc>
      </w:tr>
      <w:tr w:rsidR="008A3FDD" w14:paraId="3A4F5A7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21027" w14:textId="77777777" w:rsidR="008A3FDD" w:rsidRDefault="00000000">
            <w:r>
              <w:rPr>
                <w:b/>
                <w:bCs/>
                <w:sz w:val="20"/>
                <w:szCs w:val="20"/>
              </w:rPr>
              <w:t>Critical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77F8" w14:textId="77777777" w:rsidR="008A3FDD" w:rsidRDefault="00000000">
            <w:r>
              <w:rPr>
                <w:sz w:val="18"/>
                <w:szCs w:val="18"/>
              </w:rPr>
              <w:t>Tata Supply Co., Flipkart Wholesale, Havells Supply, LG Electronics Supp, Dr. Reddy's Supp (5)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129BA" w14:textId="77777777" w:rsidR="008A3FDD" w:rsidRDefault="00000000">
            <w:r>
              <w:rPr>
                <w:sz w:val="20"/>
                <w:szCs w:val="20"/>
              </w:rPr>
              <w:t>High lead time and/or high defect rate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AAD18" w14:textId="77777777" w:rsidR="008A3FDD" w:rsidRDefault="00000000">
            <w:r>
              <w:rPr>
                <w:sz w:val="20"/>
                <w:szCs w:val="20"/>
              </w:rPr>
              <w:t>Review contracts; identify backup suppliers</w:t>
            </w:r>
          </w:p>
        </w:tc>
      </w:tr>
    </w:tbl>
    <w:p w14:paraId="114E84E3" w14:textId="77777777" w:rsidR="008A3FDD" w:rsidRDefault="008A3FDD">
      <w:pPr>
        <w:spacing w:before="200"/>
      </w:pPr>
    </w:p>
    <w:p w14:paraId="0C4CC366" w14:textId="77777777" w:rsidR="008A3FDD" w:rsidRDefault="00000000">
      <w:pPr>
        <w:spacing w:after="160"/>
      </w:pPr>
      <w:r>
        <w:rPr>
          <w:i/>
          <w:iCs/>
          <w:color w:val="595959"/>
        </w:rPr>
        <w:t>Cluster rule applied: Preferred Partner where risk score ≤ −0.5; Under Watch where risk score ≤ 0.75; Critical otherwise.</w:t>
      </w:r>
    </w:p>
    <w:p w14:paraId="77F0C5BE" w14:textId="77777777" w:rsidR="008A3FDD" w:rsidRDefault="008A3FDD">
      <w:pPr>
        <w:pBdr>
          <w:bottom w:val="single" w:sz="6" w:space="1" w:color="AAAAAA"/>
        </w:pBdr>
        <w:spacing w:before="120" w:after="240"/>
      </w:pPr>
    </w:p>
    <w:p w14:paraId="6ADEF1DF" w14:textId="77777777" w:rsidR="008A3FDD" w:rsidRDefault="00000000">
      <w:pPr>
        <w:pStyle w:val="Heading1"/>
      </w:pPr>
      <w:r>
        <w:t>8. Cost Attribution</w:t>
      </w:r>
    </w:p>
    <w:p w14:paraId="05F1EEED" w14:textId="77777777" w:rsidR="008A3FDD" w:rsidRDefault="00000000">
      <w:pPr>
        <w:spacing w:after="160"/>
      </w:pPr>
      <w:r>
        <w:t>Total logistics spend across all 10,000 orders is $3,255,177.52, equivalent to a baseline cost of $325.52 per order. This is the starting point against which the 10% cost-reduction target should be measured.</w:t>
      </w:r>
    </w:p>
    <w:p w14:paraId="2D67B7C4" w14:textId="77777777" w:rsidR="008A3FDD" w:rsidRDefault="00000000">
      <w:pPr>
        <w:spacing w:after="160"/>
      </w:pPr>
      <w:r>
        <w:t>Cost is attributed across two dimensions on the Power BI dashboard's Cost Analysis page: region &amp; carrier (stacked view) and product category. The carrier-cost and delay patterns observed in Section 5 suggest that cost and delay reduction can be pursued together — shifting volume away from the worst-performing, and not necessarily cheapest, carriers on the worst routes.</w:t>
      </w:r>
    </w:p>
    <w:p w14:paraId="7F01A07B" w14:textId="77777777" w:rsidR="008A3FDD" w:rsidRDefault="008A3FDD">
      <w:pPr>
        <w:pBdr>
          <w:bottom w:val="single" w:sz="6" w:space="1" w:color="AAAAAA"/>
        </w:pBdr>
        <w:spacing w:before="120" w:after="240"/>
      </w:pPr>
    </w:p>
    <w:p w14:paraId="7C769D6B" w14:textId="77777777" w:rsidR="008A3FDD" w:rsidRDefault="00000000">
      <w:pPr>
        <w:pStyle w:val="Heading1"/>
      </w:pPr>
      <w:r>
        <w:t>9. KPI Dashboard Summary</w:t>
      </w:r>
    </w:p>
    <w:p w14:paraId="6D82131F" w14:textId="77777777" w:rsidR="008A3FDD" w:rsidRDefault="00000000">
      <w:pPr>
        <w:spacing w:after="160"/>
      </w:pPr>
      <w:r>
        <w:t xml:space="preserve">An interactive Power BI dashboard was built with five pages: Executive Overview, Delivery Performance, Cost Analysis, Supplier Segmentation, and Demand Forecasting. The Executive Overview page includes </w:t>
      </w:r>
      <w:r>
        <w:lastRenderedPageBreak/>
        <w:t>all eight Business KPIs as scorecards, alongside four required slicers (Carrier, Region, Product Category, Order Date).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700"/>
        <w:gridCol w:w="2900"/>
        <w:gridCol w:w="1560"/>
      </w:tblGrid>
      <w:tr w:rsidR="008A3FDD" w14:paraId="5F7B74E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472D7" w14:textId="77777777" w:rsidR="008A3FDD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6F35" w14:textId="77777777" w:rsidR="008A3FDD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1A91" w14:textId="77777777" w:rsidR="008A3FDD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Result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93678" w14:textId="77777777" w:rsidR="008A3FD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A3FDD" w14:paraId="37DA90E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1B869" w14:textId="77777777" w:rsidR="008A3FDD" w:rsidRDefault="00000000">
            <w:r>
              <w:rPr>
                <w:sz w:val="20"/>
                <w:szCs w:val="20"/>
              </w:rPr>
              <w:t>On-Time Delivery Rate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C67D7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≥ 90%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878D3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16.48%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08B3" w14:textId="77777777" w:rsidR="008A3FD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Critical gap</w:t>
            </w:r>
          </w:p>
        </w:tc>
      </w:tr>
      <w:tr w:rsidR="008A3FDD" w14:paraId="27C2F47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5812C" w14:textId="77777777" w:rsidR="008A3FDD" w:rsidRDefault="00000000">
            <w:r>
              <w:rPr>
                <w:sz w:val="20"/>
                <w:szCs w:val="20"/>
              </w:rPr>
              <w:t>Average Delivery Delay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68FA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≤ 1.5 days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CF931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2.50 days (overall avg)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09363" w14:textId="77777777" w:rsidR="008A3FDD" w:rsidRDefault="00000000">
            <w:pPr>
              <w:jc w:val="center"/>
            </w:pPr>
            <w:r>
              <w:rPr>
                <w:b/>
                <w:bCs/>
                <w:color w:val="C9851A"/>
                <w:sz w:val="20"/>
                <w:szCs w:val="20"/>
              </w:rPr>
              <w:t>Above target</w:t>
            </w:r>
          </w:p>
        </w:tc>
      </w:tr>
      <w:tr w:rsidR="008A3FDD" w14:paraId="270E107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29BC" w14:textId="77777777" w:rsidR="008A3FDD" w:rsidRDefault="00000000">
            <w:r>
              <w:rPr>
                <w:sz w:val="20"/>
                <w:szCs w:val="20"/>
              </w:rPr>
              <w:t>Logistics Cost per Order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018B1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Reduce by 10%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020D6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$325.52 / order (baseline)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85FBF" w14:textId="77777777" w:rsidR="008A3FDD" w:rsidRDefault="00000000">
            <w:pPr>
              <w:jc w:val="center"/>
            </w:pPr>
            <w:r>
              <w:rPr>
                <w:b/>
                <w:bCs/>
                <w:color w:val="595959"/>
                <w:sz w:val="20"/>
                <w:szCs w:val="20"/>
              </w:rPr>
              <w:t>Baseline set</w:t>
            </w:r>
          </w:p>
        </w:tc>
      </w:tr>
      <w:tr w:rsidR="008A3FDD" w14:paraId="4FD55F2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A2BD3" w14:textId="77777777" w:rsidR="008A3FDD" w:rsidRDefault="00000000">
            <w:r>
              <w:rPr>
                <w:sz w:val="20"/>
                <w:szCs w:val="20"/>
              </w:rPr>
              <w:t>Inventory Fill Rate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016E4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≥ 95%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B0F7B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89.02%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B5D4" w14:textId="77777777" w:rsidR="008A3FDD" w:rsidRDefault="00000000">
            <w:pPr>
              <w:jc w:val="center"/>
            </w:pPr>
            <w:r>
              <w:rPr>
                <w:b/>
                <w:bCs/>
                <w:color w:val="C9851A"/>
                <w:sz w:val="20"/>
                <w:szCs w:val="20"/>
              </w:rPr>
              <w:t>Below target</w:t>
            </w:r>
          </w:p>
        </w:tc>
      </w:tr>
      <w:tr w:rsidR="008A3FDD" w14:paraId="2E8F0C7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4765" w14:textId="77777777" w:rsidR="008A3FDD" w:rsidRDefault="00000000">
            <w:r>
              <w:rPr>
                <w:sz w:val="20"/>
                <w:szCs w:val="20"/>
              </w:rPr>
              <w:t>Supplier Lead Time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CC5CE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≤ 7 days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D610E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9.01 days (avg)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1B3E" w14:textId="77777777" w:rsidR="008A3FDD" w:rsidRDefault="00000000">
            <w:pPr>
              <w:jc w:val="center"/>
            </w:pPr>
            <w:r>
              <w:rPr>
                <w:b/>
                <w:bCs/>
                <w:color w:val="C9851A"/>
                <w:sz w:val="20"/>
                <w:szCs w:val="20"/>
              </w:rPr>
              <w:t>Above target</w:t>
            </w:r>
          </w:p>
        </w:tc>
      </w:tr>
      <w:tr w:rsidR="008A3FDD" w14:paraId="36731BC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DFD22" w14:textId="77777777" w:rsidR="008A3FDD" w:rsidRDefault="00000000">
            <w:r>
              <w:rPr>
                <w:sz w:val="20"/>
                <w:szCs w:val="20"/>
              </w:rPr>
              <w:t>Demand Forecast Accuracy (MAPE)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4DB45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≤ 15%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9858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76.7% (Moving Avg, top-20 SKU avg)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3D3D" w14:textId="77777777" w:rsidR="008A3FD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Critical gap</w:t>
            </w:r>
          </w:p>
        </w:tc>
      </w:tr>
      <w:tr w:rsidR="008A3FDD" w14:paraId="5AF645E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CD011" w14:textId="77777777" w:rsidR="008A3FDD" w:rsidRDefault="00000000">
            <w:r>
              <w:rPr>
                <w:sz w:val="20"/>
                <w:szCs w:val="20"/>
              </w:rPr>
              <w:t>Order Defect Rate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72047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≤ 2%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E0043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9.91%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D438" w14:textId="77777777" w:rsidR="008A3FD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Critical gap</w:t>
            </w:r>
          </w:p>
        </w:tc>
      </w:tr>
      <w:tr w:rsidR="008A3FDD" w14:paraId="7ADCCFD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9048" w14:textId="77777777" w:rsidR="008A3FDD" w:rsidRDefault="00000000">
            <w:r>
              <w:rPr>
                <w:sz w:val="20"/>
                <w:szCs w:val="20"/>
              </w:rPr>
              <w:t>Stockout Rate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CE54F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≤ 3%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5E8A8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44.28%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B5086" w14:textId="77777777" w:rsidR="008A3FD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Critical gap</w:t>
            </w:r>
          </w:p>
        </w:tc>
      </w:tr>
    </w:tbl>
    <w:p w14:paraId="041E3690" w14:textId="77777777" w:rsidR="008A3FDD" w:rsidRDefault="008A3FDD">
      <w:pPr>
        <w:spacing w:before="200"/>
      </w:pPr>
    </w:p>
    <w:p w14:paraId="161FE27F" w14:textId="77777777" w:rsidR="008A3FDD" w:rsidRDefault="00000000">
      <w:pPr>
        <w:spacing w:after="160"/>
      </w:pPr>
      <w:r>
        <w:t>Several KPIs are currently well outside their targets — most notably stockout rate (44.28% vs. ≤3% target), forecast MAPE, defect rate, and on-time delivery. These gaps are the direct basis for the recommendations in Section 10.</w:t>
      </w:r>
    </w:p>
    <w:p w14:paraId="6040CDBE" w14:textId="77777777" w:rsidR="008A3FDD" w:rsidRDefault="008A3FDD">
      <w:pPr>
        <w:pBdr>
          <w:bottom w:val="single" w:sz="6" w:space="1" w:color="AAAAAA"/>
        </w:pBdr>
        <w:spacing w:before="120" w:after="240"/>
      </w:pPr>
    </w:p>
    <w:p w14:paraId="3121E74A" w14:textId="77777777" w:rsidR="008A3FDD" w:rsidRDefault="00000000">
      <w:pPr>
        <w:pStyle w:val="Heading1"/>
      </w:pPr>
      <w:r>
        <w:t>10. Recommendations</w:t>
      </w:r>
    </w:p>
    <w:p w14:paraId="7CB2BF9F" w14:textId="77777777" w:rsidR="008A3FDD" w:rsidRDefault="00000000">
      <w:pPr>
        <w:spacing w:after="160"/>
      </w:pPr>
      <w:r>
        <w:t>The following recommendations are prioritized by business impact versus implementation effort, based directly on the root-cause findings above.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260"/>
        <w:gridCol w:w="1800"/>
        <w:gridCol w:w="1800"/>
      </w:tblGrid>
      <w:tr w:rsidR="008A3FDD" w14:paraId="5CD1F39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E2A60" w14:textId="77777777" w:rsidR="008A3F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C8934" w14:textId="77777777" w:rsidR="008A3FDD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721E" w14:textId="77777777" w:rsidR="008A3FDD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EE1F" w14:textId="77777777" w:rsidR="008A3FDD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8A3FDD" w14:paraId="73B305B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3AB3" w14:textId="77777777" w:rsidR="008A3FD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7EA79" w14:textId="77777777" w:rsidR="008A3FDD" w:rsidRDefault="00000000">
            <w:r>
              <w:rPr>
                <w:sz w:val="20"/>
                <w:szCs w:val="20"/>
              </w:rPr>
              <w:t>Shift volume away from XpressBees and DTDC toward DHL/FedEx on Northeast and Northwest routes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1121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CEB7D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</w:tr>
      <w:tr w:rsidR="008A3FDD" w14:paraId="114649A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ECECA" w14:textId="77777777" w:rsidR="008A3FD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FF3BA" w14:textId="77777777" w:rsidR="008A3FDD" w:rsidRDefault="00000000">
            <w:r>
              <w:rPr>
                <w:sz w:val="20"/>
                <w:szCs w:val="20"/>
              </w:rPr>
              <w:t>Renegotiate or replace the 5 “Critical” suppliers (Tata Supply Co., Flipkart Wholesale, Havells, LG Electronics, Dr. Reddy's)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DFF7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DE5D1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8A3FDD" w14:paraId="3AFB215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49DDA" w14:textId="77777777" w:rsidR="008A3FD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9CA6" w14:textId="77777777" w:rsidR="008A3FDD" w:rsidRDefault="00000000">
            <w:r>
              <w:rPr>
                <w:sz w:val="20"/>
                <w:szCs w:val="20"/>
              </w:rPr>
              <w:t>Investigate Northeast/Northwest delivery infrastructure — regional delay is independent of carrier choice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E47BA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25F9F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8A3FDD" w14:paraId="56EB51F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9FB77" w14:textId="77777777" w:rsidR="008A3FD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D24D" w14:textId="77777777" w:rsidR="008A3FDD" w:rsidRDefault="00000000">
            <w:r>
              <w:rPr>
                <w:sz w:val="20"/>
                <w:szCs w:val="20"/>
              </w:rPr>
              <w:t>Raise safety stock / reorder points for the top-20 SKUs given ~77% forecast MAPE — demand is too volatile for point forecasts alone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0DE84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5423F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</w:tr>
      <w:tr w:rsidR="008A3FDD" w14:paraId="1AC64F9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2E5B" w14:textId="77777777" w:rsidR="008A3FD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00B8F" w14:textId="77777777" w:rsidR="008A3FDD" w:rsidRDefault="00000000">
            <w:r>
              <w:rPr>
                <w:sz w:val="20"/>
                <w:szCs w:val="20"/>
              </w:rPr>
              <w:t>Add a weight-based shipping surcharge or repacking step — every extra kg adds ~0.03 days of delay at scale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8571F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28F0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</w:tr>
      <w:tr w:rsidR="008A3FDD" w14:paraId="77CA964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80383" w14:textId="77777777" w:rsidR="008A3FD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B8026" w14:textId="77777777" w:rsidR="008A3FDD" w:rsidRDefault="00000000">
            <w:r>
              <w:rPr>
                <w:sz w:val="20"/>
                <w:szCs w:val="20"/>
              </w:rPr>
              <w:t>Audit the order-defect pipeline (9.91% vs 2% target) — defect rate is nearly 5x target and independent of the delay 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FF730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ACDEB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8A3FDD" w14:paraId="33B3B4F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3D678" w14:textId="77777777" w:rsidR="008A3FD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7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87BE" w14:textId="77777777" w:rsidR="008A3FDD" w:rsidRDefault="00000000">
            <w:r>
              <w:rPr>
                <w:sz w:val="20"/>
                <w:szCs w:val="20"/>
              </w:rPr>
              <w:t>Pilot a 3rd-party fill-rate improvement program with “Preferred Partner” suppliers first, given proven reliability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6F2B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BB3B" w14:textId="77777777" w:rsidR="008A3FDD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</w:tr>
    </w:tbl>
    <w:p w14:paraId="1031CB7C" w14:textId="77777777" w:rsidR="008A3FDD" w:rsidRDefault="008A3FDD">
      <w:pPr>
        <w:pBdr>
          <w:bottom w:val="single" w:sz="6" w:space="1" w:color="AAAAAA"/>
        </w:pBdr>
        <w:spacing w:before="120" w:after="240"/>
      </w:pPr>
    </w:p>
    <w:p w14:paraId="61581B87" w14:textId="77777777" w:rsidR="008A3FDD" w:rsidRDefault="00000000">
      <w:pPr>
        <w:pStyle w:val="Heading1"/>
      </w:pPr>
      <w:r>
        <w:t>11. Limitations and Future Scope</w:t>
      </w:r>
    </w:p>
    <w:p w14:paraId="0C24EED3" w14:textId="77777777" w:rsidR="008A3FDD" w:rsidRDefault="00000000">
      <w:pPr>
        <w:pStyle w:val="ListParagraph"/>
        <w:numPr>
          <w:ilvl w:val="0"/>
          <w:numId w:val="2"/>
        </w:numPr>
        <w:spacing w:after="80"/>
      </w:pPr>
      <w:r>
        <w:t>The regression model explains only ~17% of delay variance (R² = 0.173); unmeasured factors (e.g. warehouse handling time, customs/regulatory steps, courier-level staffing) likely account for meaningful remaining variance.</w:t>
      </w:r>
    </w:p>
    <w:p w14:paraId="7FEAD3E3" w14:textId="77777777" w:rsidR="008A3FDD" w:rsidRDefault="00000000">
      <w:pPr>
        <w:pStyle w:val="ListParagraph"/>
        <w:numPr>
          <w:ilvl w:val="0"/>
          <w:numId w:val="2"/>
        </w:numPr>
        <w:spacing w:after="80"/>
      </w:pPr>
      <w:r>
        <w:t>SKU-level demand forecasts (MAPE 76–84%) are not yet reliable enough for automated reorder triggers; near-term inventory decisions should rely on safety stock and reorder points rather than point forecasts.</w:t>
      </w:r>
    </w:p>
    <w:p w14:paraId="6ECFB75A" w14:textId="77777777" w:rsidR="008A3FDD" w:rsidRDefault="00000000">
      <w:pPr>
        <w:pStyle w:val="ListParagraph"/>
        <w:numPr>
          <w:ilvl w:val="0"/>
          <w:numId w:val="2"/>
        </w:numPr>
        <w:spacing w:after="80"/>
      </w:pPr>
      <w:r>
        <w:t>Supplier segmentation used manual K-Means clustering with Elbow-method K selection (K = 3) rather than a software clustering library; with only 15 suppliers, the practical resolution is equivalent to a library implementation, but this should be re-run with a statistical package if the supplier base grows substantially.</w:t>
      </w:r>
    </w:p>
    <w:p w14:paraId="31B9FCB2" w14:textId="77777777" w:rsidR="008A3FDD" w:rsidRDefault="00000000">
      <w:pPr>
        <w:pStyle w:val="ListParagraph"/>
        <w:numPr>
          <w:ilvl w:val="0"/>
          <w:numId w:val="2"/>
        </w:numPr>
        <w:spacing w:after="80"/>
      </w:pPr>
      <w:r>
        <w:t>Per the project guidelines, no Python-based forecasting or clustering libraries were used; all analysis was completed in Excel, SQL, and Power BI.</w:t>
      </w:r>
    </w:p>
    <w:p w14:paraId="471FFC06" w14:textId="77777777" w:rsidR="008A3FDD" w:rsidRDefault="00000000">
      <w:pPr>
        <w:pStyle w:val="ListParagraph"/>
        <w:numPr>
          <w:ilvl w:val="0"/>
          <w:numId w:val="2"/>
        </w:numPr>
        <w:spacing w:after="80"/>
      </w:pPr>
      <w:r>
        <w:t>Future work: incorporate promotional calendars and seasonality indices into the demand model, and extend the regression to include warehouse dwell time once that data is captured.</w:t>
      </w:r>
    </w:p>
    <w:p w14:paraId="31145756" w14:textId="77777777" w:rsidR="008A3FDD" w:rsidRDefault="008A3FDD">
      <w:pPr>
        <w:pBdr>
          <w:bottom w:val="single" w:sz="6" w:space="1" w:color="AAAAAA"/>
        </w:pBdr>
        <w:spacing w:before="120" w:after="240"/>
      </w:pPr>
    </w:p>
    <w:p w14:paraId="746739F5" w14:textId="77777777" w:rsidR="008A3FDD" w:rsidRDefault="00000000">
      <w:pPr>
        <w:pStyle w:val="Heading1"/>
      </w:pPr>
      <w:r>
        <w:t>12. References and Appendix</w:t>
      </w:r>
    </w:p>
    <w:p w14:paraId="3727634A" w14:textId="77777777" w:rsidR="008A3FDD" w:rsidRDefault="00000000">
      <w:pPr>
        <w:spacing w:after="160"/>
      </w:pPr>
      <w:r>
        <w:t>Data source: Internal capstone dataset provided for academic / training purposes (GUVI / HCL Supply Chain Analytics Capstone). Not sourced from a public dataset URL, per project guidelines.</w:t>
      </w:r>
    </w:p>
    <w:p w14:paraId="7D18EE50" w14:textId="77777777" w:rsidR="008A3FDD" w:rsidRDefault="00000000">
      <w:pPr>
        <w:spacing w:after="160"/>
      </w:pPr>
      <w:r>
        <w:t>Supporting files: cleaned Excel workbook (BMAI_SupplyChain_Dataset_new.xlsx) with documented transformation and analysis sheets; SQL scripts for schema creation, extraction, aggregation, and window-function queries; Power BI dashboard (Supply_Chain_Dashboard.pbix).</w:t>
      </w:r>
    </w:p>
    <w:sectPr w:rsidR="008A3F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C9777" w14:textId="77777777" w:rsidR="00A86748" w:rsidRDefault="00A86748">
      <w:r>
        <w:separator/>
      </w:r>
    </w:p>
  </w:endnote>
  <w:endnote w:type="continuationSeparator" w:id="0">
    <w:p w14:paraId="5EA80496" w14:textId="77777777" w:rsidR="00A86748" w:rsidRDefault="00A86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29405" w14:textId="77777777" w:rsidR="00DF17C4" w:rsidRDefault="00DF17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79012" w14:textId="77777777" w:rsidR="008A3FDD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63BA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F63BA8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FB367" w14:textId="77777777" w:rsidR="00DF17C4" w:rsidRDefault="00DF17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EE0FC" w14:textId="77777777" w:rsidR="00A86748" w:rsidRDefault="00A86748">
      <w:r>
        <w:separator/>
      </w:r>
    </w:p>
  </w:footnote>
  <w:footnote w:type="continuationSeparator" w:id="0">
    <w:p w14:paraId="76C4FA94" w14:textId="77777777" w:rsidR="00A86748" w:rsidRDefault="00A86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380FB" w14:textId="77777777" w:rsidR="00DF17C4" w:rsidRDefault="00DF17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754DA" w14:textId="77777777" w:rsidR="008A3FDD" w:rsidRDefault="00000000">
    <w:pPr>
      <w:tabs>
        <w:tab w:val="right" w:pos="9026"/>
      </w:tabs>
    </w:pPr>
    <w:r>
      <w:rPr>
        <w:color w:val="888888"/>
        <w:sz w:val="16"/>
        <w:szCs w:val="16"/>
      </w:rPr>
      <w:t>Supply Chain Intelligence Project</w:t>
    </w:r>
    <w:r>
      <w:rPr>
        <w:color w:val="888888"/>
        <w:sz w:val="16"/>
        <w:szCs w:val="16"/>
      </w:rPr>
      <w:tab/>
      <w:t>Final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4ECE5" w14:textId="77777777" w:rsidR="00DF17C4" w:rsidRDefault="00DF17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3265B"/>
    <w:multiLevelType w:val="hybridMultilevel"/>
    <w:tmpl w:val="397824E2"/>
    <w:lvl w:ilvl="0" w:tplc="7EB8E4C6">
      <w:start w:val="1"/>
      <w:numFmt w:val="bullet"/>
      <w:lvlText w:val="•"/>
      <w:lvlJc w:val="left"/>
      <w:pPr>
        <w:ind w:left="720" w:hanging="360"/>
      </w:pPr>
    </w:lvl>
    <w:lvl w:ilvl="1" w:tplc="29DE7A68">
      <w:start w:val="1"/>
      <w:numFmt w:val="bullet"/>
      <w:lvlText w:val="○"/>
      <w:lvlJc w:val="left"/>
      <w:pPr>
        <w:ind w:left="1080" w:hanging="360"/>
      </w:pPr>
    </w:lvl>
    <w:lvl w:ilvl="2" w:tplc="654C7D5E">
      <w:numFmt w:val="decimal"/>
      <w:lvlText w:val=""/>
      <w:lvlJc w:val="left"/>
    </w:lvl>
    <w:lvl w:ilvl="3" w:tplc="DD8621F2">
      <w:numFmt w:val="decimal"/>
      <w:lvlText w:val=""/>
      <w:lvlJc w:val="left"/>
    </w:lvl>
    <w:lvl w:ilvl="4" w:tplc="C654123E">
      <w:numFmt w:val="decimal"/>
      <w:lvlText w:val=""/>
      <w:lvlJc w:val="left"/>
    </w:lvl>
    <w:lvl w:ilvl="5" w:tplc="1152B28C">
      <w:numFmt w:val="decimal"/>
      <w:lvlText w:val=""/>
      <w:lvlJc w:val="left"/>
    </w:lvl>
    <w:lvl w:ilvl="6" w:tplc="18EA369E">
      <w:numFmt w:val="decimal"/>
      <w:lvlText w:val=""/>
      <w:lvlJc w:val="left"/>
    </w:lvl>
    <w:lvl w:ilvl="7" w:tplc="A5A678C8">
      <w:numFmt w:val="decimal"/>
      <w:lvlText w:val=""/>
      <w:lvlJc w:val="left"/>
    </w:lvl>
    <w:lvl w:ilvl="8" w:tplc="0A6E598C">
      <w:numFmt w:val="decimal"/>
      <w:lvlText w:val=""/>
      <w:lvlJc w:val="left"/>
    </w:lvl>
  </w:abstractNum>
  <w:abstractNum w:abstractNumId="1" w15:restartNumberingAfterBreak="0">
    <w:nsid w:val="7B2E7553"/>
    <w:multiLevelType w:val="hybridMultilevel"/>
    <w:tmpl w:val="4268DC8E"/>
    <w:lvl w:ilvl="0" w:tplc="D78CAFEC">
      <w:start w:val="1"/>
      <w:numFmt w:val="bullet"/>
      <w:lvlText w:val="●"/>
      <w:lvlJc w:val="left"/>
      <w:pPr>
        <w:ind w:left="720" w:hanging="360"/>
      </w:pPr>
    </w:lvl>
    <w:lvl w:ilvl="1" w:tplc="76E49B26">
      <w:start w:val="1"/>
      <w:numFmt w:val="bullet"/>
      <w:lvlText w:val="○"/>
      <w:lvlJc w:val="left"/>
      <w:pPr>
        <w:ind w:left="1440" w:hanging="360"/>
      </w:pPr>
    </w:lvl>
    <w:lvl w:ilvl="2" w:tplc="97E4A7E4">
      <w:start w:val="1"/>
      <w:numFmt w:val="bullet"/>
      <w:lvlText w:val="■"/>
      <w:lvlJc w:val="left"/>
      <w:pPr>
        <w:ind w:left="2160" w:hanging="360"/>
      </w:pPr>
    </w:lvl>
    <w:lvl w:ilvl="3" w:tplc="7980A5D4">
      <w:start w:val="1"/>
      <w:numFmt w:val="bullet"/>
      <w:lvlText w:val="●"/>
      <w:lvlJc w:val="left"/>
      <w:pPr>
        <w:ind w:left="2880" w:hanging="360"/>
      </w:pPr>
    </w:lvl>
    <w:lvl w:ilvl="4" w:tplc="50E60556">
      <w:start w:val="1"/>
      <w:numFmt w:val="bullet"/>
      <w:lvlText w:val="○"/>
      <w:lvlJc w:val="left"/>
      <w:pPr>
        <w:ind w:left="3600" w:hanging="360"/>
      </w:pPr>
    </w:lvl>
    <w:lvl w:ilvl="5" w:tplc="30360376">
      <w:start w:val="1"/>
      <w:numFmt w:val="bullet"/>
      <w:lvlText w:val="■"/>
      <w:lvlJc w:val="left"/>
      <w:pPr>
        <w:ind w:left="4320" w:hanging="360"/>
      </w:pPr>
    </w:lvl>
    <w:lvl w:ilvl="6" w:tplc="1FDC9BFE">
      <w:start w:val="1"/>
      <w:numFmt w:val="bullet"/>
      <w:lvlText w:val="●"/>
      <w:lvlJc w:val="left"/>
      <w:pPr>
        <w:ind w:left="5040" w:hanging="360"/>
      </w:pPr>
    </w:lvl>
    <w:lvl w:ilvl="7" w:tplc="D2A6A19E">
      <w:start w:val="1"/>
      <w:numFmt w:val="bullet"/>
      <w:lvlText w:val="●"/>
      <w:lvlJc w:val="left"/>
      <w:pPr>
        <w:ind w:left="5760" w:hanging="360"/>
      </w:pPr>
    </w:lvl>
    <w:lvl w:ilvl="8" w:tplc="A6A82640">
      <w:start w:val="1"/>
      <w:numFmt w:val="bullet"/>
      <w:lvlText w:val="●"/>
      <w:lvlJc w:val="left"/>
      <w:pPr>
        <w:ind w:left="6480" w:hanging="360"/>
      </w:pPr>
    </w:lvl>
  </w:abstractNum>
  <w:num w:numId="1" w16cid:durableId="569922309">
    <w:abstractNumId w:val="1"/>
    <w:lvlOverride w:ilvl="0">
      <w:startOverride w:val="1"/>
    </w:lvlOverride>
  </w:num>
  <w:num w:numId="2" w16cid:durableId="741097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FDD"/>
    <w:rsid w:val="00047559"/>
    <w:rsid w:val="000662DA"/>
    <w:rsid w:val="00102E23"/>
    <w:rsid w:val="00195524"/>
    <w:rsid w:val="001D712B"/>
    <w:rsid w:val="007140E4"/>
    <w:rsid w:val="008A3FDD"/>
    <w:rsid w:val="00A86748"/>
    <w:rsid w:val="00A877BA"/>
    <w:rsid w:val="00B2221E"/>
    <w:rsid w:val="00BB79E7"/>
    <w:rsid w:val="00DC65A8"/>
    <w:rsid w:val="00DF17C4"/>
    <w:rsid w:val="00F0044E"/>
    <w:rsid w:val="00F6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1AB95"/>
  <w15:docId w15:val="{0A67178D-7345-4EA0-BB02-F740047A7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2761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E2761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7C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7C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7C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17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17C4"/>
  </w:style>
  <w:style w:type="paragraph" w:styleId="Footer">
    <w:name w:val="footer"/>
    <w:basedOn w:val="Normal"/>
    <w:link w:val="FooterChar"/>
    <w:uiPriority w:val="99"/>
    <w:unhideWhenUsed/>
    <w:rsid w:val="00DF17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17C4"/>
  </w:style>
  <w:style w:type="character" w:styleId="BookTitle">
    <w:name w:val="Book Title"/>
    <w:basedOn w:val="DefaultParagraphFont"/>
    <w:uiPriority w:val="33"/>
    <w:qFormat/>
    <w:rsid w:val="00DF17C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17C4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DF17C4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7C4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7C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7C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DF17C4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7C4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7C4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DF17C4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DF17C4"/>
  </w:style>
  <w:style w:type="paragraph" w:styleId="Quote">
    <w:name w:val="Quote"/>
    <w:basedOn w:val="Normal"/>
    <w:next w:val="Normal"/>
    <w:link w:val="QuoteChar"/>
    <w:uiPriority w:val="29"/>
    <w:qFormat/>
    <w:rsid w:val="00DF17C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7C4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DF17C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7C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F17C4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DF17C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F17C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17C4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DF17C4"/>
    <w:rPr>
      <w:b/>
      <w:bCs/>
      <w:color w:val="333333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DF17C4"/>
    <w:pPr>
      <w:spacing w:before="100" w:beforeAutospacing="1" w:after="100" w:afterAutospacing="1"/>
    </w:pPr>
    <w:rPr>
      <w:rFonts w:ascii="Times New Roman" w:hAnsi="Times New Roman" w:cs="Times New Roman"/>
      <w:kern w:val="2"/>
      <w:sz w:val="24"/>
      <w:szCs w:val="24"/>
      <w14:ligatures w14:val="standardContextual"/>
    </w:rPr>
  </w:style>
  <w:style w:type="table" w:styleId="GridTable4-Accent1">
    <w:name w:val="Grid Table 4 Accent 1"/>
    <w:basedOn w:val="TableNormal"/>
    <w:uiPriority w:val="49"/>
    <w:rsid w:val="00DF17C4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7D2B6-771F-46FB-AD01-C89153E8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2327</Words>
  <Characters>13662</Characters>
  <Application>Microsoft Office Word</Application>
  <DocSecurity>0</DocSecurity>
  <Lines>471</Lines>
  <Paragraphs>363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Supply Chain Intelligence: Optimizing Delivery Performance and Demand Forecasting</vt:lpstr>
    </vt:vector>
  </TitlesOfParts>
  <Company/>
  <LinksUpToDate>false</LinksUpToDate>
  <CharactersWithSpaces>15626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Supply Chain Intelligence: Optimizing Delivery Performance and Demand Forecasting</dc:title>
  <dc:creator>Supply Chain Analytics Project</dc:creator>
  <cp:lastModifiedBy>Harsha Kardile</cp:lastModifiedBy>
  <cp:revision>9</cp:revision>
  <dcterms:created xsi:type="dcterms:W3CDTF">2026-06-21T20:10:00Z</dcterms:created>
  <dcterms:modified xsi:type="dcterms:W3CDTF">2026-10-04T20:08:00Z</dcterms:modified>
</cp:coreProperties>
</file>