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Investor Readiness Engine</w:t>
      </w:r>
    </w:p>
    <w:p>
      <w:r>
        <w:rPr>
          <w:b/>
        </w:rPr>
        <w:t>Submission Summary</w:t>
      </w:r>
      <w:r>
        <w:t xml:space="preserve"> | Quarterly earnings-call preparation prototype</w:t>
      </w:r>
    </w:p>
    <w:p>
      <w:pPr>
        <w:pStyle w:val="Heading1"/>
      </w:pPr>
      <w:r>
        <w:t>1. Business problem</w:t>
      </w:r>
    </w:p>
    <w:p>
      <w:r>
        <w:t>A listed company can report strong revenue growth while simultaneously facing margin pressure, weaker cash generation, uneven segment performance and deviations from earlier management commitments. Investors connect these signals during an earnings call and can quickly move from one question to a more difficult follow-up. The finance and leadership team therefore needs a structured way to identify likely investor pressure points and rehearse evidence-backed, consistent answers before the call.</w:t>
      </w:r>
    </w:p>
    <w:p>
      <w:pPr>
        <w:pStyle w:val="Heading1"/>
      </w:pPr>
      <w:r>
        <w:t>2. Working prototype</w:t>
      </w:r>
    </w:p>
    <w:p>
      <w:r>
        <w:t>The Investor Readiness Engine is a browser-based prototype built using HTML, CSS and JavaScript. The user uploads an Excel disclosure pack. The prototype then moves through an end-to-end journey: financial performance → segment exposure → guidance and credibility → investor pressure test → management response → leadership preparation.</w:t>
      </w:r>
    </w:p>
    <w:p>
      <w:pPr>
        <w:pStyle w:val="ListBullet"/>
      </w:pPr>
      <w:r>
        <w:t>Executive Overview: current-quarter financial signals, investor exposure and probable questions.</w:t>
      </w:r>
    </w:p>
    <w:p>
      <w:pPr>
        <w:pStyle w:val="ListBullet"/>
      </w:pPr>
      <w:r>
        <w:t>Financial Drivers: revenue, operating margin, operating cash flow, free cash flow and working-capital trends.</w:t>
      </w:r>
    </w:p>
    <w:p>
      <w:pPr>
        <w:pStyle w:val="ListBullet"/>
      </w:pPr>
      <w:r>
        <w:t>Segment Exposure: historical segment revenue and growth charts, revenue mix and current-quarter pressure points.</w:t>
      </w:r>
    </w:p>
    <w:p>
      <w:pPr>
        <w:pStyle w:val="ListBullet"/>
      </w:pPr>
      <w:r>
        <w:t>Guidance &amp; Credibility: previous commitments compared with current results.</w:t>
      </w:r>
    </w:p>
    <w:p>
      <w:pPr>
        <w:pStyle w:val="ListBullet"/>
      </w:pPr>
      <w:r>
        <w:t>Investor Pressure Test: ranked probable investor questions and why each is triggered.</w:t>
      </w:r>
    </w:p>
    <w:p>
      <w:pPr>
        <w:pStyle w:val="ListBullet"/>
      </w:pPr>
      <w:r>
        <w:t>Management Response: evidence-backed answer, consistency check and response quality score.</w:t>
      </w:r>
    </w:p>
    <w:p>
      <w:pPr>
        <w:pStyle w:val="ListBullet"/>
      </w:pPr>
      <w:r>
        <w:t>Leadership Preparation: follow-up questions and actions leadership should rehearse before the call.</w:t>
      </w:r>
    </w:p>
    <w:p>
      <w:pPr>
        <w:pStyle w:val="ListBullet"/>
      </w:pPr>
      <w:r>
        <w:t>Scoring &amp; Methodology: transparent formulas for investor risk and response quality.</w:t>
      </w:r>
    </w:p>
    <w:p>
      <w:pPr>
        <w:pStyle w:val="Heading1"/>
      </w:pPr>
      <w:r>
        <w:t>3. Data and assumptions</w:t>
      </w:r>
    </w:p>
    <w:p>
      <w:r>
        <w:t>All financial figures, segment results, management commentary, historical commitments, investor questions and response assessments are synthetic and created solely for demonstration. The disclosure pack contains eight quarters of financial data plus segment, cash-flow, operational, guidance, investor-risk and response-review evidence. The prototype treats company disclosures as the source of truth and does not intentionally introduce unsupported claims.</w:t>
      </w:r>
    </w:p>
    <w:p>
      <w:r>
        <w:t>The segment workbook contains historical segment-level rows and the prototype normalizes them into quarter-by-segment views. Small differences between segment totals and consolidated revenue may occur because segment revenue is shown before group-level eliminations or other corporate adjustments.</w:t>
      </w:r>
    </w:p>
    <w:p>
      <w:pPr>
        <w:pStyle w:val="Heading1"/>
      </w:pPr>
      <w:r>
        <w:t>4. Tools</w:t>
      </w:r>
    </w:p>
    <w:p>
      <w:r>
        <w:t>Excel is used as the disclosure/data layer. The working prototype is implemented using HTML, CSS and JavaScript. Chart.js is used for visualisation and SheetJS is used to read uploaded Excel files directly in the browser. No Python backend is required.</w:t>
      </w:r>
    </w:p>
    <w:p>
      <w:pPr>
        <w:pStyle w:val="Heading1"/>
      </w:pPr>
      <w:r>
        <w:t>5. Business journey</w:t>
      </w:r>
    </w:p>
    <w:tbl>
      <w:tblPr>
        <w:tblStyle w:val="TableGrid"/>
        <w:tblW w:type="auto" w:w="0"/>
        <w:jc w:val="center"/>
        <w:tblLook w:firstColumn="1" w:firstRow="1" w:lastColumn="0" w:lastRow="0" w:noHBand="0" w:noVBand="1" w:val="04A0"/>
      </w:tblPr>
      <w:tblGrid>
        <w:gridCol w:w="5184"/>
        <w:gridCol w:w="5184"/>
      </w:tblGrid>
      <w:tr>
        <w:tc>
          <w:tcPr>
            <w:tcW w:type="dxa" w:w="5184"/>
          </w:tcPr>
          <w:p>
            <w:r>
              <w:t>Stage</w:t>
            </w:r>
          </w:p>
        </w:tc>
        <w:tc>
          <w:tcPr>
            <w:tcW w:type="dxa" w:w="5184"/>
          </w:tcPr>
          <w:p>
            <w:r>
              <w:t>Prototype output</w:t>
            </w:r>
          </w:p>
        </w:tc>
      </w:tr>
      <w:tr>
        <w:tc>
          <w:tcPr>
            <w:tcW w:type="dxa" w:w="5184"/>
          </w:tcPr>
          <w:p>
            <w:r>
              <w:t>Input</w:t>
            </w:r>
          </w:p>
        </w:tc>
        <w:tc>
          <w:tcPr>
            <w:tcW w:type="dxa" w:w="5184"/>
          </w:tcPr>
          <w:p>
            <w:r>
              <w:t>Upload quarterly financials, segments, commentary, previous earnings-call statements and guidance.</w:t>
            </w:r>
          </w:p>
        </w:tc>
      </w:tr>
      <w:tr>
        <w:tc>
          <w:tcPr>
            <w:tcW w:type="dxa" w:w="5184"/>
          </w:tcPr>
          <w:p>
            <w:r>
              <w:t>Diagnose</w:t>
            </w:r>
          </w:p>
        </w:tc>
        <w:tc>
          <w:tcPr>
            <w:tcW w:type="dxa" w:w="5184"/>
          </w:tcPr>
          <w:p>
            <w:r>
              <w:t>Identify material financial and segment movements.</w:t>
            </w:r>
          </w:p>
        </w:tc>
      </w:tr>
      <w:tr>
        <w:tc>
          <w:tcPr>
            <w:tcW w:type="dxa" w:w="5184"/>
          </w:tcPr>
          <w:p>
            <w:r>
              <w:t>Prioritise</w:t>
            </w:r>
          </w:p>
        </w:tc>
        <w:tc>
          <w:tcPr>
            <w:tcW w:type="dxa" w:w="5184"/>
          </w:tcPr>
          <w:p>
            <w:r>
              <w:t>Rank investor exposure using a transparent four-factor risk score.</w:t>
            </w:r>
          </w:p>
        </w:tc>
      </w:tr>
      <w:tr>
        <w:tc>
          <w:tcPr>
            <w:tcW w:type="dxa" w:w="5184"/>
          </w:tcPr>
          <w:p>
            <w:r>
              <w:t>Pressure-test</w:t>
            </w:r>
          </w:p>
        </w:tc>
        <w:tc>
          <w:tcPr>
            <w:tcW w:type="dxa" w:w="5184"/>
          </w:tcPr>
          <w:p>
            <w:r>
              <w:t>Generate probable investor questions linked to evidence.</w:t>
            </w:r>
          </w:p>
        </w:tc>
      </w:tr>
      <w:tr>
        <w:tc>
          <w:tcPr>
            <w:tcW w:type="dxa" w:w="5184"/>
          </w:tcPr>
          <w:p>
            <w:r>
              <w:t>Rehearse</w:t>
            </w:r>
          </w:p>
        </w:tc>
        <w:tc>
          <w:tcPr>
            <w:tcW w:type="dxa" w:w="5184"/>
          </w:tcPr>
          <w:p>
            <w:r>
              <w:t>Review a management response against evidence and historical commitments.</w:t>
            </w:r>
          </w:p>
        </w:tc>
      </w:tr>
      <w:tr>
        <w:tc>
          <w:tcPr>
            <w:tcW w:type="dxa" w:w="5184"/>
          </w:tcPr>
          <w:p>
            <w:r>
              <w:t>Prepare</w:t>
            </w:r>
          </w:p>
        </w:tc>
        <w:tc>
          <w:tcPr>
            <w:tcW w:type="dxa" w:w="5184"/>
          </w:tcPr>
          <w:p>
            <w:r>
              <w:t>Identify the likely follow-up question and the specific preparation needed before the call.</w:t>
            </w:r>
          </w:p>
        </w:tc>
      </w:tr>
    </w:tbl>
    <w:p>
      <w:pPr>
        <w:pStyle w:val="Heading1"/>
      </w:pPr>
      <w:r>
        <w:t>6. Key scoring logic</w:t>
      </w:r>
    </w:p>
    <w:p>
      <w:r>
        <w:t>Investor Risk Score = Financial Impact + Negative Trend + Guidance Gap + Strategic Importance. Each component is scored from 1 to 5, producing a maximum of 20. 16–20 is Critical, 11–15 High, 6–10 Moderate and 1–5 Low.</w:t>
      </w:r>
    </w:p>
    <w:p>
      <w:r>
        <w:t>Response Quality Score = average of Evidence Support, Directness, Investor Concern Coverage, Consistency and Clarity, each scored from 1 to 5.</w:t>
      </w:r>
    </w:p>
    <w:p>
      <w:pPr>
        <w:pStyle w:val="Heading1"/>
      </w:pPr>
      <w:r>
        <w:t>7. Business value</w:t>
      </w:r>
    </w:p>
    <w:p>
      <w:pPr>
        <w:pStyle w:val="ListBullet"/>
      </w:pPr>
      <w:r>
        <w:t>Focuses leadership preparation on the investor questions most likely to matter.</w:t>
      </w:r>
    </w:p>
    <w:p>
      <w:pPr>
        <w:pStyle w:val="ListBullet"/>
      </w:pPr>
      <w:r>
        <w:t>Links every difficult question to specific financial or disclosure evidence.</w:t>
      </w:r>
    </w:p>
    <w:p>
      <w:pPr>
        <w:pStyle w:val="ListBullet"/>
      </w:pPr>
      <w:r>
        <w:t>Surfaces gaps between previous management commitments and current outcomes.</w:t>
      </w:r>
    </w:p>
    <w:p>
      <w:pPr>
        <w:pStyle w:val="ListBullet"/>
      </w:pPr>
      <w:r>
        <w:t>Improves the quality and consistency of management responses before the live call.</w:t>
      </w:r>
    </w:p>
    <w:p>
      <w:pPr>
        <w:pStyle w:val="ListBullet"/>
      </w:pPr>
      <w:r>
        <w:t>Creates a practical preparation queue instead of another passive reporting dashboard.</w:t>
      </w:r>
    </w:p>
    <w:p>
      <w:pPr>
        <w:pStyle w:val="Heading1"/>
      </w:pPr>
      <w:r>
        <w:t>8. One key limitation</w:t>
      </w:r>
    </w:p>
    <w:p>
      <w:r>
        <w:t>The quality of the preparation output depends on the completeness, accuracy and consistency of the disclosure pack. If a company has not disclosed enough evidence for a driver or future outcome, the prototype intentionally avoids fabricating an answer.</w:t>
      </w:r>
    </w:p>
    <w:p>
      <w:pPr>
        <w:pStyle w:val="Heading1"/>
      </w:pPr>
      <w:r>
        <w:t>9. Presentation</w:t>
      </w:r>
    </w:p>
    <w:p>
      <w:r>
        <w:t>The presentation is designed for 1.5 minutes and covers the problem, prototype journey, a live example, business value and one limitation. The video can be recorded separately by the presenter.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