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0891B2"/>
          <w:sz w:val="17"/>
          <w:szCs w:val="17"/>
          <w:rFonts w:ascii="Calibri" w:cs="Calibri" w:eastAsia="Calibri" w:hAnsi="Calibri"/>
          <w:spacing w:val="40"/>
        </w:rPr>
        <w:t xml:space="preserve">TECHNICAL ASSIGNMENT</w:t>
      </w:r>
    </w:p>
    <w:p>
      <w:pPr>
        <w:spacing w:after="40"/>
      </w:pPr>
      <w:r>
        <w:rPr>
          <w:b/>
          <w:bCs/>
          <w:color w:val="0A1222"/>
          <w:sz w:val="44"/>
          <w:szCs w:val="44"/>
          <w:rFonts w:ascii="Calibri" w:cs="Calibri" w:eastAsia="Calibri" w:hAnsi="Calibri"/>
        </w:rPr>
        <w:t xml:space="preserve">Intake Triage Agent</w:t>
      </w:r>
    </w:p>
    <w:p>
      <w:pPr>
        <w:spacing w:after="60"/>
      </w:pPr>
      <w:r>
        <w:rPr>
          <w:color w:val="5B6478"/>
          <w:sz w:val="24"/>
          <w:szCs w:val="24"/>
          <w:rFonts w:ascii="Calibri" w:cs="Calibri" w:eastAsia="Calibri" w:hAnsi="Calibri"/>
        </w:rPr>
        <w:t xml:space="preserve">Design, evaluation and production plan for automated enquiry triage</w:t>
      </w:r>
    </w:p>
    <w:p>
      <w:pPr>
        <w:pBdr>
          <w:bottom w:val="single" w:color="0891B2" w:sz="12" w:space="8"/>
        </w:pBdr>
        <w:spacing w:after="200"/>
      </w:pPr>
      <w:r>
        <w:rPr>
          <w:color w:val="5B6478"/>
          <w:sz w:val="18"/>
          <w:szCs w:val="18"/>
          <w:rFonts w:ascii="Calibri" w:cs="Calibri" w:eastAsia="Calibri" w:hAnsi="Calibri"/>
        </w:rPr>
        <w:t xml:space="preserve">Harsha Dindigal · October 2026 · </w:t>
      </w:r>
      <w:hyperlink w:history="1" r:id="rId_ouam7bpzpx_rp4ccodou">
        <w:r>
          <w:rPr>
            <w:u w:val="single"/>
            <w:color w:val="0891B2"/>
            <w:sz w:val="18"/>
            <w:szCs w:val="18"/>
            <w:rFonts w:ascii="Calibri" w:cs="Calibri" w:eastAsia="Calibri" w:hAnsi="Calibri"/>
          </w:rPr>
          <w:t xml:space="preserve">github.com/harshadindigal-dev/AIVCInterview</w:t>
        </w:r>
      </w:hyperlink>
      <w:r>
        <w:rPr>
          <w:color w:val="5B6478"/>
          <w:sz w:val="18"/>
          <w:szCs w:val="18"/>
          <w:rFonts w:ascii="Calibri" w:cs="Calibri" w:eastAsia="Calibri" w:hAnsi="Calibri"/>
        </w:rPr>
        <w:t xml:space="preserve"> · All companies and people are fictional</w:t>
      </w:r>
    </w:p>
    <w:p>
      <w:pPr>
        <w:pStyle w:val="Heading1"/>
      </w:pPr>
      <w:r>
        <w:rPr>
          <w:color w:val="0891B2"/>
          <w:rFonts w:ascii="Calibri" w:cs="Calibri" w:eastAsia="Calibri" w:hAnsi="Calibri"/>
        </w:rPr>
        <w:t xml:space="preserve">1  </w:t>
      </w:r>
      <w:r>
        <w:rPr>
          <w:rFonts w:ascii="Calibri" w:cs="Calibri" w:eastAsia="Calibri" w:hAnsi="Calibri"/>
        </w:rPr>
        <w:t xml:space="preserve">Summary</w:t>
      </w:r>
    </w:p>
    <w:p>
      <w:pPr>
        <w:spacing w:before="0" w:after="100" w:line="264"/>
      </w:pPr>
      <w:r>
        <w:rPr>
          <w:color w:val="1B2335"/>
          <w:sz w:val="20"/>
          <w:szCs w:val="20"/>
          <w:rFonts w:ascii="Calibri" w:cs="Calibri" w:eastAsia="Calibri" w:hAnsi="Calibri"/>
        </w:rPr>
        <w:t xml:space="preserve">The firm receives 40 to 60 enquiries a week through its website. An analyst reads each one, decides the service line and complexity, and passes it to a team lead. That takes about eight hours a week, and mistakes slip through.</w:t>
      </w:r>
    </w:p>
    <w:p>
      <w:pPr>
        <w:spacing w:before="0" w:after="100" w:line="264"/>
      </w:pPr>
      <w:r>
        <w:rPr>
          <w:color w:val="1B2335"/>
          <w:sz w:val="20"/>
          <w:szCs w:val="20"/>
          <w:rFonts w:ascii="Calibri" w:cs="Calibri" w:eastAsia="Calibri" w:hAnsi="Calibri"/>
        </w:rPr>
        <w:t xml:space="preserve">The prototype automates this triage. A language model reads each enquiry and judges the service line, complexity and urgency. The CRM adds what the firm already knows about the client. A short set of rules, owned by the firm rather than the model, decides who receives it. Anything uncertain, conflicted or suspicious goes to a person, with the reason stated. Every decision can be traced, and every correction is recorded.</w:t>
      </w:r>
    </w:p>
    <w:p>
      <w:pPr>
        <w:spacing w:before="0" w:after="80" w:line="264"/>
      </w:pPr>
      <w:r>
        <w:rPr>
          <w:b/>
          <w:bCs/>
          <w:color w:val="0A1222"/>
          <w:sz w:val="20"/>
          <w:szCs w:val="20"/>
          <w:rFonts w:ascii="Calibri" w:cs="Calibri" w:eastAsia="Calibri" w:hAnsi="Calibri"/>
        </w:rPr>
        <w:t xml:space="preserve">Testing.</w:t>
      </w:r>
      <w:r>
        <w:rPr>
          <w:color w:val="1B2335"/>
          <w:sz w:val="20"/>
          <w:szCs w:val="20"/>
          <w:rFonts w:ascii="Calibri" w:cs="Calibri" w:eastAsia="Calibri" w:hAnsi="Calibri"/>
        </w:rPr>
        <w:t xml:space="preserve"> Three models were run on 50 hand-written enquiries. Half were deliberately difficult: vague requests, conflicts of interest, manipulation attempts, and work spanning several practices. Every enquiry that needed a person reached one, both manipulation attempts were caught, and every automatic route was correct.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24"/>
        <w:gridCol w:w="1883"/>
        <w:gridCol w:w="1719"/>
        <w:gridCol w:w="1146"/>
        <w:gridCol w:w="1146"/>
        <w:gridCol w:w="1228"/>
      </w:tblGrid>
      <w:tr>
        <w:trPr>
          <w:tblHeader/>
        </w:trPr>
        <w:tc>
          <w:tcPr>
            <w:tcW w:type="dxa" w:w="2624"/>
            <w:tcBorders>
              <w:top w:val="single" w:color="D5DBE5" w:sz="4"/>
              <w:left w:val="single" w:color="D5DBE5" w:sz="4"/>
              <w:bottom w:val="single" w:color="D5DBE5" w:sz="4"/>
              <w:right w:val="single" w:color="D5DBE5" w:sz="4"/>
            </w:tcBorders>
            <w:shd w:fill="E8F7FA" w:color="auto" w:val="clear"/>
            <w:tcMar>
              <w:top w:type="dxa" w:w="50"/>
              <w:left w:type="dxa" w:w="90"/>
              <w:bottom w:type="dxa" w:w="50"/>
              <w:right w:type="dxa" w:w="90"/>
            </w:tcMar>
            <w:vAlign w:val="top"/>
          </w:tcPr>
          <w:p>
            <w:pPr>
              <w:spacing w:after="0" w:line="240"/>
            </w:pPr>
            <w:r>
              <w:rPr>
                <w:b/>
                <w:bCs/>
                <w:color w:val="0A1222"/>
                <w:sz w:val="17"/>
                <w:szCs w:val="17"/>
                <w:rFonts w:ascii="Calibri" w:cs="Calibri" w:eastAsia="Calibri" w:hAnsi="Calibri"/>
              </w:rPr>
              <w:t xml:space="preserve">Model</w:t>
            </w:r>
          </w:p>
        </w:tc>
        <w:tc>
          <w:tcPr>
            <w:tcW w:type="dxa" w:w="1883"/>
            <w:tcBorders>
              <w:top w:val="single" w:color="D5DBE5" w:sz="4"/>
              <w:left w:val="single" w:color="D5DBE5" w:sz="4"/>
              <w:bottom w:val="single" w:color="D5DBE5" w:sz="4"/>
              <w:right w:val="single" w:color="D5DBE5" w:sz="4"/>
            </w:tcBorders>
            <w:shd w:fill="E8F7FA" w:color="auto" w:val="clear"/>
            <w:tcMar>
              <w:top w:type="dxa" w:w="50"/>
              <w:left w:type="dxa" w:w="90"/>
              <w:bottom w:type="dxa" w:w="50"/>
              <w:right w:type="dxa" w:w="90"/>
            </w:tcMar>
            <w:vAlign w:val="top"/>
          </w:tcPr>
          <w:p>
            <w:pPr>
              <w:spacing w:after="0" w:line="240"/>
            </w:pPr>
            <w:r>
              <w:rPr>
                <w:b/>
                <w:bCs/>
                <w:color w:val="0A1222"/>
                <w:sz w:val="17"/>
                <w:szCs w:val="17"/>
                <w:rFonts w:ascii="Calibri" w:cs="Calibri" w:eastAsia="Calibri" w:hAnsi="Calibri"/>
              </w:rPr>
              <w:t xml:space="preserve">Needed a person, reached one</w:t>
            </w:r>
          </w:p>
        </w:tc>
        <w:tc>
          <w:tcPr>
            <w:tcW w:type="dxa" w:w="1719"/>
            <w:tcBorders>
              <w:top w:val="single" w:color="D5DBE5" w:sz="4"/>
              <w:left w:val="single" w:color="D5DBE5" w:sz="4"/>
              <w:bottom w:val="single" w:color="D5DBE5" w:sz="4"/>
              <w:right w:val="single" w:color="D5DBE5" w:sz="4"/>
            </w:tcBorders>
            <w:shd w:fill="E8F7FA" w:color="auto" w:val="clear"/>
            <w:tcMar>
              <w:top w:type="dxa" w:w="50"/>
              <w:left w:type="dxa" w:w="90"/>
              <w:bottom w:type="dxa" w:w="50"/>
              <w:right w:type="dxa" w:w="90"/>
            </w:tcMar>
            <w:vAlign w:val="top"/>
          </w:tcPr>
          <w:p>
            <w:pPr>
              <w:spacing w:after="0" w:line="240"/>
            </w:pPr>
            <w:r>
              <w:rPr>
                <w:b/>
                <w:bCs/>
                <w:color w:val="0A1222"/>
                <w:sz w:val="17"/>
                <w:szCs w:val="17"/>
                <w:rFonts w:ascii="Calibri" w:cs="Calibri" w:eastAsia="Calibri" w:hAnsi="Calibri"/>
              </w:rPr>
              <w:t xml:space="preserve">Automatic routes correct</w:t>
            </w:r>
          </w:p>
        </w:tc>
        <w:tc>
          <w:tcPr>
            <w:tcW w:type="dxa" w:w="1146"/>
            <w:tcBorders>
              <w:top w:val="single" w:color="D5DBE5" w:sz="4"/>
              <w:left w:val="single" w:color="D5DBE5" w:sz="4"/>
              <w:bottom w:val="single" w:color="D5DBE5" w:sz="4"/>
              <w:right w:val="single" w:color="D5DBE5" w:sz="4"/>
            </w:tcBorders>
            <w:shd w:fill="E8F7FA" w:color="auto" w:val="clear"/>
            <w:tcMar>
              <w:top w:type="dxa" w:w="50"/>
              <w:left w:type="dxa" w:w="90"/>
              <w:bottom w:type="dxa" w:w="50"/>
              <w:right w:type="dxa" w:w="90"/>
            </w:tcMar>
            <w:vAlign w:val="top"/>
          </w:tcPr>
          <w:p>
            <w:pPr>
              <w:spacing w:after="0" w:line="240"/>
            </w:pPr>
            <w:r>
              <w:rPr>
                <w:b/>
                <w:bCs/>
                <w:color w:val="0A1222"/>
                <w:sz w:val="17"/>
                <w:szCs w:val="17"/>
                <w:rFonts w:ascii="Calibri" w:cs="Calibri" w:eastAsia="Calibri" w:hAnsi="Calibri"/>
              </w:rPr>
              <w:t xml:space="preserve">Service line</w:t>
            </w:r>
          </w:p>
        </w:tc>
        <w:tc>
          <w:tcPr>
            <w:tcW w:type="dxa" w:w="1146"/>
            <w:tcBorders>
              <w:top w:val="single" w:color="D5DBE5" w:sz="4"/>
              <w:left w:val="single" w:color="D5DBE5" w:sz="4"/>
              <w:bottom w:val="single" w:color="D5DBE5" w:sz="4"/>
              <w:right w:val="single" w:color="D5DBE5" w:sz="4"/>
            </w:tcBorders>
            <w:shd w:fill="E8F7FA" w:color="auto" w:val="clear"/>
            <w:tcMar>
              <w:top w:type="dxa" w:w="50"/>
              <w:left w:type="dxa" w:w="90"/>
              <w:bottom w:type="dxa" w:w="50"/>
              <w:right w:type="dxa" w:w="90"/>
            </w:tcMar>
            <w:vAlign w:val="top"/>
          </w:tcPr>
          <w:p>
            <w:pPr>
              <w:spacing w:after="0" w:line="240"/>
            </w:pPr>
            <w:r>
              <w:rPr>
                <w:b/>
                <w:bCs/>
                <w:color w:val="0A1222"/>
                <w:sz w:val="17"/>
                <w:szCs w:val="17"/>
                <w:rFonts w:ascii="Calibri" w:cs="Calibri" w:eastAsia="Calibri" w:hAnsi="Calibri"/>
              </w:rPr>
              <w:t xml:space="preserve">Complexity</w:t>
            </w:r>
          </w:p>
        </w:tc>
        <w:tc>
          <w:tcPr>
            <w:tcW w:type="dxa" w:w="1228"/>
            <w:tcBorders>
              <w:top w:val="single" w:color="D5DBE5" w:sz="4"/>
              <w:left w:val="single" w:color="D5DBE5" w:sz="4"/>
              <w:bottom w:val="single" w:color="D5DBE5" w:sz="4"/>
              <w:right w:val="single" w:color="D5DBE5" w:sz="4"/>
            </w:tcBorders>
            <w:shd w:fill="E8F7FA" w:color="auto" w:val="clear"/>
            <w:tcMar>
              <w:top w:type="dxa" w:w="50"/>
              <w:left w:type="dxa" w:w="90"/>
              <w:bottom w:type="dxa" w:w="50"/>
              <w:right w:type="dxa" w:w="90"/>
            </w:tcMar>
            <w:vAlign w:val="top"/>
          </w:tcPr>
          <w:p>
            <w:pPr>
              <w:spacing w:after="0" w:line="240"/>
            </w:pPr>
            <w:r>
              <w:rPr>
                <w:b/>
                <w:bCs/>
                <w:color w:val="0A1222"/>
                <w:sz w:val="17"/>
                <w:szCs w:val="17"/>
                <w:rFonts w:ascii="Calibri" w:cs="Calibri" w:eastAsia="Calibri" w:hAnsi="Calibri"/>
              </w:rPr>
              <w:t xml:space="preserve">Cost per 1,000</w:t>
            </w:r>
          </w:p>
        </w:tc>
      </w:tr>
      <w:tr>
        <w:trPr>
          <w:cantSplit/>
        </w:trPr>
        <w:tc>
          <w:tcPr>
            <w:tcW w:type="dxa" w:w="2624"/>
            <w:tcBorders>
              <w:top w:val="single" w:color="D5DBE5" w:sz="4"/>
              <w:left w:val="single" w:color="D5DBE5" w:sz="4"/>
              <w:bottom w:val="single" w:color="D5DBE5" w:sz="4"/>
              <w:right w:val="single" w:color="D5DBE5" w:sz="4"/>
            </w:tcBorders>
            <w:shd w:fill="FFFFFF" w:color="auto" w:val="clear"/>
            <w:tcMar>
              <w:top w:type="dxa" w:w="50"/>
              <w:left w:type="dxa" w:w="90"/>
              <w:bottom w:type="dxa" w:w="50"/>
              <w:right w:type="dxa" w:w="90"/>
            </w:tcMar>
            <w:vAlign w:val="top"/>
          </w:tcPr>
          <w:p>
            <w:pPr>
              <w:spacing w:after="0" w:line="240"/>
            </w:pPr>
            <w:r>
              <w:rPr>
                <w:b/>
                <w:bCs/>
                <w:color w:val="0A1222"/>
                <w:sz w:val="17"/>
                <w:szCs w:val="17"/>
                <w:rFonts w:ascii="Calibri" w:cs="Calibri" w:eastAsia="Calibri" w:hAnsi="Calibri"/>
              </w:rPr>
              <w:t xml:space="preserve">Claude Sonnet 5.5</w:t>
            </w:r>
            <w:r>
              <w:rPr>
                <w:color w:val="1B2335"/>
                <w:sz w:val="17"/>
                <w:szCs w:val="17"/>
                <w:rFonts w:ascii="Calibri" w:cs="Calibri" w:eastAsia="Calibri" w:hAnsi="Calibri"/>
              </w:rPr>
              <w:t xml:space="preserve"> (recommended)</w:t>
            </w:r>
          </w:p>
        </w:tc>
        <w:tc>
          <w:tcPr>
            <w:tcW w:type="dxa" w:w="1883"/>
            <w:tcBorders>
              <w:top w:val="single" w:color="D5DBE5" w:sz="4"/>
              <w:left w:val="single" w:color="D5DBE5" w:sz="4"/>
              <w:bottom w:val="single" w:color="D5DBE5" w:sz="4"/>
              <w:right w:val="single" w:color="D5DBE5" w:sz="4"/>
            </w:tcBorders>
            <w:shd w:fill="FFFFFF" w:color="auto" w:val="clear"/>
            <w:tcMar>
              <w:top w:type="dxa" w:w="50"/>
              <w:left w:type="dxa" w:w="90"/>
              <w:bottom w:type="dxa" w:w="50"/>
              <w:right w:type="dxa" w:w="90"/>
            </w:tcMar>
            <w:vAlign w:val="top"/>
          </w:tcPr>
          <w:p>
            <w:pPr>
              <w:spacing w:after="0" w:line="240"/>
            </w:pPr>
            <w:r>
              <w:rPr>
                <w:color w:val="1B2335"/>
                <w:sz w:val="17"/>
                <w:szCs w:val="17"/>
                <w:rFonts w:ascii="Calibri" w:cs="Calibri" w:eastAsia="Calibri" w:hAnsi="Calibri"/>
              </w:rPr>
              <w:t xml:space="preserve">8 of 8</w:t>
            </w:r>
          </w:p>
        </w:tc>
        <w:tc>
          <w:tcPr>
            <w:tcW w:type="dxa" w:w="1719"/>
            <w:tcBorders>
              <w:top w:val="single" w:color="D5DBE5" w:sz="4"/>
              <w:left w:val="single" w:color="D5DBE5" w:sz="4"/>
              <w:bottom w:val="single" w:color="D5DBE5" w:sz="4"/>
              <w:right w:val="single" w:color="D5DBE5" w:sz="4"/>
            </w:tcBorders>
            <w:shd w:fill="FFFFFF" w:color="auto" w:val="clear"/>
            <w:tcMar>
              <w:top w:type="dxa" w:w="50"/>
              <w:left w:type="dxa" w:w="90"/>
              <w:bottom w:type="dxa" w:w="50"/>
              <w:right w:type="dxa" w:w="90"/>
            </w:tcMar>
            <w:vAlign w:val="top"/>
          </w:tcPr>
          <w:p>
            <w:pPr>
              <w:spacing w:after="0" w:line="240"/>
            </w:pPr>
            <w:r>
              <w:rPr>
                <w:color w:val="1B2335"/>
                <w:sz w:val="17"/>
                <w:szCs w:val="17"/>
                <w:rFonts w:ascii="Calibri" w:cs="Calibri" w:eastAsia="Calibri" w:hAnsi="Calibri"/>
              </w:rPr>
              <w:t xml:space="preserve">37 of 37</w:t>
            </w:r>
          </w:p>
        </w:tc>
        <w:tc>
          <w:tcPr>
            <w:tcW w:type="dxa" w:w="1146"/>
            <w:tcBorders>
              <w:top w:val="single" w:color="D5DBE5" w:sz="4"/>
              <w:left w:val="single" w:color="D5DBE5" w:sz="4"/>
              <w:bottom w:val="single" w:color="D5DBE5" w:sz="4"/>
              <w:right w:val="single" w:color="D5DBE5" w:sz="4"/>
            </w:tcBorders>
            <w:shd w:fill="FFFFFF" w:color="auto" w:val="clear"/>
            <w:tcMar>
              <w:top w:type="dxa" w:w="50"/>
              <w:left w:type="dxa" w:w="90"/>
              <w:bottom w:type="dxa" w:w="50"/>
              <w:right w:type="dxa" w:w="90"/>
            </w:tcMar>
            <w:vAlign w:val="top"/>
          </w:tcPr>
          <w:p>
            <w:pPr>
              <w:spacing w:after="0" w:line="240"/>
            </w:pPr>
            <w:r>
              <w:rPr>
                <w:color w:val="1B2335"/>
                <w:sz w:val="17"/>
                <w:szCs w:val="17"/>
                <w:rFonts w:ascii="Calibri" w:cs="Calibri" w:eastAsia="Calibri" w:hAnsi="Calibri"/>
              </w:rPr>
              <w:t xml:space="preserve">100%</w:t>
            </w:r>
          </w:p>
        </w:tc>
        <w:tc>
          <w:tcPr>
            <w:tcW w:type="dxa" w:w="1146"/>
            <w:tcBorders>
              <w:top w:val="single" w:color="D5DBE5" w:sz="4"/>
              <w:left w:val="single" w:color="D5DBE5" w:sz="4"/>
              <w:bottom w:val="single" w:color="D5DBE5" w:sz="4"/>
              <w:right w:val="single" w:color="D5DBE5" w:sz="4"/>
            </w:tcBorders>
            <w:shd w:fill="FFFFFF" w:color="auto" w:val="clear"/>
            <w:tcMar>
              <w:top w:type="dxa" w:w="50"/>
              <w:left w:type="dxa" w:w="90"/>
              <w:bottom w:type="dxa" w:w="50"/>
              <w:right w:type="dxa" w:w="90"/>
            </w:tcMar>
            <w:vAlign w:val="top"/>
          </w:tcPr>
          <w:p>
            <w:pPr>
              <w:spacing w:after="0" w:line="240"/>
            </w:pPr>
            <w:r>
              <w:rPr>
                <w:color w:val="1B2335"/>
                <w:sz w:val="17"/>
                <w:szCs w:val="17"/>
                <w:rFonts w:ascii="Calibri" w:cs="Calibri" w:eastAsia="Calibri" w:hAnsi="Calibri"/>
              </w:rPr>
              <w:t xml:space="preserve">90%</w:t>
            </w:r>
          </w:p>
        </w:tc>
        <w:tc>
          <w:tcPr>
            <w:tcW w:type="dxa" w:w="1228"/>
            <w:tcBorders>
              <w:top w:val="single" w:color="D5DBE5" w:sz="4"/>
              <w:left w:val="single" w:color="D5DBE5" w:sz="4"/>
              <w:bottom w:val="single" w:color="D5DBE5" w:sz="4"/>
              <w:right w:val="single" w:color="D5DBE5" w:sz="4"/>
            </w:tcBorders>
            <w:shd w:fill="FFFFFF" w:color="auto" w:val="clear"/>
            <w:tcMar>
              <w:top w:type="dxa" w:w="50"/>
              <w:left w:type="dxa" w:w="90"/>
              <w:bottom w:type="dxa" w:w="50"/>
              <w:right w:type="dxa" w:w="90"/>
            </w:tcMar>
            <w:vAlign w:val="top"/>
          </w:tcPr>
          <w:p>
            <w:pPr>
              <w:spacing w:after="0" w:line="240"/>
            </w:pPr>
            <w:r>
              <w:rPr>
                <w:color w:val="1B2335"/>
                <w:sz w:val="17"/>
                <w:szCs w:val="17"/>
                <w:rFonts w:ascii="Calibri" w:cs="Calibri" w:eastAsia="Calibri" w:hAnsi="Calibri"/>
              </w:rPr>
              <w:t xml:space="preserve">$40</w:t>
            </w:r>
          </w:p>
        </w:tc>
      </w:tr>
      <w:tr>
        <w:trPr>
          <w:cantSplit/>
        </w:trPr>
        <w:tc>
          <w:tcPr>
            <w:tcW w:type="dxa" w:w="2624"/>
            <w:tcBorders>
              <w:top w:val="single" w:color="D5DBE5" w:sz="4"/>
              <w:left w:val="single" w:color="D5DBE5" w:sz="4"/>
              <w:bottom w:val="single" w:color="D5DBE5" w:sz="4"/>
              <w:right w:val="single" w:color="D5DBE5" w:sz="4"/>
            </w:tcBorders>
            <w:shd w:fill="F7F9FC" w:color="auto" w:val="clear"/>
            <w:tcMar>
              <w:top w:type="dxa" w:w="50"/>
              <w:left w:type="dxa" w:w="90"/>
              <w:bottom w:type="dxa" w:w="50"/>
              <w:right w:type="dxa" w:w="90"/>
            </w:tcMar>
            <w:vAlign w:val="top"/>
          </w:tcPr>
          <w:p>
            <w:pPr>
              <w:spacing w:after="0" w:line="240"/>
            </w:pPr>
            <w:r>
              <w:rPr>
                <w:color w:val="1B2335"/>
                <w:sz w:val="17"/>
                <w:szCs w:val="17"/>
                <w:rFonts w:ascii="Calibri" w:cs="Calibri" w:eastAsia="Calibri" w:hAnsi="Calibri"/>
              </w:rPr>
              <w:t xml:space="preserve">Claude Haiku 5.5</w:t>
            </w:r>
          </w:p>
        </w:tc>
        <w:tc>
          <w:tcPr>
            <w:tcW w:type="dxa" w:w="1883"/>
            <w:tcBorders>
              <w:top w:val="single" w:color="D5DBE5" w:sz="4"/>
              <w:left w:val="single" w:color="D5DBE5" w:sz="4"/>
              <w:bottom w:val="single" w:color="D5DBE5" w:sz="4"/>
              <w:right w:val="single" w:color="D5DBE5" w:sz="4"/>
            </w:tcBorders>
            <w:shd w:fill="F7F9FC" w:color="auto" w:val="clear"/>
            <w:tcMar>
              <w:top w:type="dxa" w:w="50"/>
              <w:left w:type="dxa" w:w="90"/>
              <w:bottom w:type="dxa" w:w="50"/>
              <w:right w:type="dxa" w:w="90"/>
            </w:tcMar>
            <w:vAlign w:val="top"/>
          </w:tcPr>
          <w:p>
            <w:pPr>
              <w:spacing w:after="0" w:line="240"/>
            </w:pPr>
            <w:r>
              <w:rPr>
                <w:color w:val="1B2335"/>
                <w:sz w:val="17"/>
                <w:szCs w:val="17"/>
                <w:rFonts w:ascii="Calibri" w:cs="Calibri" w:eastAsia="Calibri" w:hAnsi="Calibri"/>
              </w:rPr>
              <w:t xml:space="preserve">8 of 8</w:t>
            </w:r>
          </w:p>
        </w:tc>
        <w:tc>
          <w:tcPr>
            <w:tcW w:type="dxa" w:w="1719"/>
            <w:tcBorders>
              <w:top w:val="single" w:color="D5DBE5" w:sz="4"/>
              <w:left w:val="single" w:color="D5DBE5" w:sz="4"/>
              <w:bottom w:val="single" w:color="D5DBE5" w:sz="4"/>
              <w:right w:val="single" w:color="D5DBE5" w:sz="4"/>
            </w:tcBorders>
            <w:shd w:fill="F7F9FC" w:color="auto" w:val="clear"/>
            <w:tcMar>
              <w:top w:type="dxa" w:w="50"/>
              <w:left w:type="dxa" w:w="90"/>
              <w:bottom w:type="dxa" w:w="50"/>
              <w:right w:type="dxa" w:w="90"/>
            </w:tcMar>
            <w:vAlign w:val="top"/>
          </w:tcPr>
          <w:p>
            <w:pPr>
              <w:spacing w:after="0" w:line="240"/>
            </w:pPr>
            <w:r>
              <w:rPr>
                <w:color w:val="1B2335"/>
                <w:sz w:val="17"/>
                <w:szCs w:val="17"/>
                <w:rFonts w:ascii="Calibri" w:cs="Calibri" w:eastAsia="Calibri" w:hAnsi="Calibri"/>
              </w:rPr>
              <w:t xml:space="preserve">37 of 37</w:t>
            </w:r>
          </w:p>
        </w:tc>
        <w:tc>
          <w:tcPr>
            <w:tcW w:type="dxa" w:w="1146"/>
            <w:tcBorders>
              <w:top w:val="single" w:color="D5DBE5" w:sz="4"/>
              <w:left w:val="single" w:color="D5DBE5" w:sz="4"/>
              <w:bottom w:val="single" w:color="D5DBE5" w:sz="4"/>
              <w:right w:val="single" w:color="D5DBE5" w:sz="4"/>
            </w:tcBorders>
            <w:shd w:fill="F7F9FC" w:color="auto" w:val="clear"/>
            <w:tcMar>
              <w:top w:type="dxa" w:w="50"/>
              <w:left w:type="dxa" w:w="90"/>
              <w:bottom w:type="dxa" w:w="50"/>
              <w:right w:type="dxa" w:w="90"/>
            </w:tcMar>
            <w:vAlign w:val="top"/>
          </w:tcPr>
          <w:p>
            <w:pPr>
              <w:spacing w:after="0" w:line="240"/>
            </w:pPr>
            <w:r>
              <w:rPr>
                <w:color w:val="1B2335"/>
                <w:sz w:val="17"/>
                <w:szCs w:val="17"/>
                <w:rFonts w:ascii="Calibri" w:cs="Calibri" w:eastAsia="Calibri" w:hAnsi="Calibri"/>
              </w:rPr>
              <w:t xml:space="preserve">100%</w:t>
            </w:r>
          </w:p>
        </w:tc>
        <w:tc>
          <w:tcPr>
            <w:tcW w:type="dxa" w:w="1146"/>
            <w:tcBorders>
              <w:top w:val="single" w:color="D5DBE5" w:sz="4"/>
              <w:left w:val="single" w:color="D5DBE5" w:sz="4"/>
              <w:bottom w:val="single" w:color="D5DBE5" w:sz="4"/>
              <w:right w:val="single" w:color="D5DBE5" w:sz="4"/>
            </w:tcBorders>
            <w:shd w:fill="F7F9FC" w:color="auto" w:val="clear"/>
            <w:tcMar>
              <w:top w:type="dxa" w:w="50"/>
              <w:left w:type="dxa" w:w="90"/>
              <w:bottom w:type="dxa" w:w="50"/>
              <w:right w:type="dxa" w:w="90"/>
            </w:tcMar>
            <w:vAlign w:val="top"/>
          </w:tcPr>
          <w:p>
            <w:pPr>
              <w:spacing w:after="0" w:line="240"/>
            </w:pPr>
            <w:r>
              <w:rPr>
                <w:color w:val="1B2335"/>
                <w:sz w:val="17"/>
                <w:szCs w:val="17"/>
                <w:rFonts w:ascii="Calibri" w:cs="Calibri" w:eastAsia="Calibri" w:hAnsi="Calibri"/>
              </w:rPr>
              <w:t xml:space="preserve">66%</w:t>
            </w:r>
          </w:p>
        </w:tc>
        <w:tc>
          <w:tcPr>
            <w:tcW w:type="dxa" w:w="1228"/>
            <w:tcBorders>
              <w:top w:val="single" w:color="D5DBE5" w:sz="4"/>
              <w:left w:val="single" w:color="D5DBE5" w:sz="4"/>
              <w:bottom w:val="single" w:color="D5DBE5" w:sz="4"/>
              <w:right w:val="single" w:color="D5DBE5" w:sz="4"/>
            </w:tcBorders>
            <w:shd w:fill="F7F9FC" w:color="auto" w:val="clear"/>
            <w:tcMar>
              <w:top w:type="dxa" w:w="50"/>
              <w:left w:type="dxa" w:w="90"/>
              <w:bottom w:type="dxa" w:w="50"/>
              <w:right w:type="dxa" w:w="90"/>
            </w:tcMar>
            <w:vAlign w:val="top"/>
          </w:tcPr>
          <w:p>
            <w:pPr>
              <w:spacing w:after="0" w:line="240"/>
            </w:pPr>
            <w:r>
              <w:rPr>
                <w:color w:val="1B2335"/>
                <w:sz w:val="17"/>
                <w:szCs w:val="17"/>
                <w:rFonts w:ascii="Calibri" w:cs="Calibri" w:eastAsia="Calibri" w:hAnsi="Calibri"/>
              </w:rPr>
              <w:t xml:space="preserve">$2.50</w:t>
            </w:r>
          </w:p>
        </w:tc>
      </w:tr>
      <w:tr>
        <w:trPr>
          <w:cantSplit/>
        </w:trPr>
        <w:tc>
          <w:tcPr>
            <w:tcW w:type="dxa" w:w="2624"/>
            <w:tcBorders>
              <w:top w:val="single" w:color="D5DBE5" w:sz="4"/>
              <w:left w:val="single" w:color="D5DBE5" w:sz="4"/>
              <w:bottom w:val="single" w:color="D5DBE5" w:sz="4"/>
              <w:right w:val="single" w:color="D5DBE5" w:sz="4"/>
            </w:tcBorders>
            <w:shd w:fill="FFFFFF" w:color="auto" w:val="clear"/>
            <w:tcMar>
              <w:top w:type="dxa" w:w="50"/>
              <w:left w:type="dxa" w:w="90"/>
              <w:bottom w:type="dxa" w:w="50"/>
              <w:right w:type="dxa" w:w="90"/>
            </w:tcMar>
            <w:vAlign w:val="top"/>
          </w:tcPr>
          <w:p>
            <w:pPr>
              <w:spacing w:after="0" w:line="240"/>
            </w:pPr>
            <w:r>
              <w:rPr>
                <w:color w:val="1B2335"/>
                <w:sz w:val="17"/>
                <w:szCs w:val="17"/>
                <w:rFonts w:ascii="Calibri" w:cs="Calibri" w:eastAsia="Calibri" w:hAnsi="Calibri"/>
              </w:rPr>
              <w:t xml:space="preserve">Gemini 3.8 Flash</w:t>
            </w:r>
          </w:p>
        </w:tc>
        <w:tc>
          <w:tcPr>
            <w:tcW w:type="dxa" w:w="1883"/>
            <w:tcBorders>
              <w:top w:val="single" w:color="D5DBE5" w:sz="4"/>
              <w:left w:val="single" w:color="D5DBE5" w:sz="4"/>
              <w:bottom w:val="single" w:color="D5DBE5" w:sz="4"/>
              <w:right w:val="single" w:color="D5DBE5" w:sz="4"/>
            </w:tcBorders>
            <w:shd w:fill="FFFFFF" w:color="auto" w:val="clear"/>
            <w:tcMar>
              <w:top w:type="dxa" w:w="50"/>
              <w:left w:type="dxa" w:w="90"/>
              <w:bottom w:type="dxa" w:w="50"/>
              <w:right w:type="dxa" w:w="90"/>
            </w:tcMar>
            <w:vAlign w:val="top"/>
          </w:tcPr>
          <w:p>
            <w:pPr>
              <w:spacing w:after="0" w:line="240"/>
            </w:pPr>
            <w:r>
              <w:rPr>
                <w:color w:val="1B2335"/>
                <w:sz w:val="17"/>
                <w:szCs w:val="17"/>
                <w:rFonts w:ascii="Calibri" w:cs="Calibri" w:eastAsia="Calibri" w:hAnsi="Calibri"/>
              </w:rPr>
              <w:t xml:space="preserve">8 of 8</w:t>
            </w:r>
          </w:p>
        </w:tc>
        <w:tc>
          <w:tcPr>
            <w:tcW w:type="dxa" w:w="1719"/>
            <w:tcBorders>
              <w:top w:val="single" w:color="D5DBE5" w:sz="4"/>
              <w:left w:val="single" w:color="D5DBE5" w:sz="4"/>
              <w:bottom w:val="single" w:color="D5DBE5" w:sz="4"/>
              <w:right w:val="single" w:color="D5DBE5" w:sz="4"/>
            </w:tcBorders>
            <w:shd w:fill="FFFFFF" w:color="auto" w:val="clear"/>
            <w:tcMar>
              <w:top w:type="dxa" w:w="50"/>
              <w:left w:type="dxa" w:w="90"/>
              <w:bottom w:type="dxa" w:w="50"/>
              <w:right w:type="dxa" w:w="90"/>
            </w:tcMar>
            <w:vAlign w:val="top"/>
          </w:tcPr>
          <w:p>
            <w:pPr>
              <w:spacing w:after="0" w:line="240"/>
            </w:pPr>
            <w:r>
              <w:rPr>
                <w:color w:val="1B2335"/>
                <w:sz w:val="17"/>
                <w:szCs w:val="17"/>
                <w:rFonts w:ascii="Calibri" w:cs="Calibri" w:eastAsia="Calibri" w:hAnsi="Calibri"/>
              </w:rPr>
              <w:t xml:space="preserve">37 of 37</w:t>
            </w:r>
          </w:p>
        </w:tc>
        <w:tc>
          <w:tcPr>
            <w:tcW w:type="dxa" w:w="1146"/>
            <w:tcBorders>
              <w:top w:val="single" w:color="D5DBE5" w:sz="4"/>
              <w:left w:val="single" w:color="D5DBE5" w:sz="4"/>
              <w:bottom w:val="single" w:color="D5DBE5" w:sz="4"/>
              <w:right w:val="single" w:color="D5DBE5" w:sz="4"/>
            </w:tcBorders>
            <w:shd w:fill="FFFFFF" w:color="auto" w:val="clear"/>
            <w:tcMar>
              <w:top w:type="dxa" w:w="50"/>
              <w:left w:type="dxa" w:w="90"/>
              <w:bottom w:type="dxa" w:w="50"/>
              <w:right w:type="dxa" w:w="90"/>
            </w:tcMar>
            <w:vAlign w:val="top"/>
          </w:tcPr>
          <w:p>
            <w:pPr>
              <w:spacing w:after="0" w:line="240"/>
            </w:pPr>
            <w:r>
              <w:rPr>
                <w:color w:val="1B2335"/>
                <w:sz w:val="17"/>
                <w:szCs w:val="17"/>
                <w:rFonts w:ascii="Calibri" w:cs="Calibri" w:eastAsia="Calibri" w:hAnsi="Calibri"/>
              </w:rPr>
              <w:t xml:space="preserve">100%</w:t>
            </w:r>
          </w:p>
        </w:tc>
        <w:tc>
          <w:tcPr>
            <w:tcW w:type="dxa" w:w="1146"/>
            <w:tcBorders>
              <w:top w:val="single" w:color="D5DBE5" w:sz="4"/>
              <w:left w:val="single" w:color="D5DBE5" w:sz="4"/>
              <w:bottom w:val="single" w:color="D5DBE5" w:sz="4"/>
              <w:right w:val="single" w:color="D5DBE5" w:sz="4"/>
            </w:tcBorders>
            <w:shd w:fill="FFFFFF" w:color="auto" w:val="clear"/>
            <w:tcMar>
              <w:top w:type="dxa" w:w="50"/>
              <w:left w:type="dxa" w:w="90"/>
              <w:bottom w:type="dxa" w:w="50"/>
              <w:right w:type="dxa" w:w="90"/>
            </w:tcMar>
            <w:vAlign w:val="top"/>
          </w:tcPr>
          <w:p>
            <w:pPr>
              <w:spacing w:after="0" w:line="240"/>
            </w:pPr>
            <w:r>
              <w:rPr>
                <w:color w:val="1B2335"/>
                <w:sz w:val="17"/>
                <w:szCs w:val="17"/>
                <w:rFonts w:ascii="Calibri" w:cs="Calibri" w:eastAsia="Calibri" w:hAnsi="Calibri"/>
              </w:rPr>
              <w:t xml:space="preserve">73%</w:t>
            </w:r>
          </w:p>
        </w:tc>
        <w:tc>
          <w:tcPr>
            <w:tcW w:type="dxa" w:w="1228"/>
            <w:tcBorders>
              <w:top w:val="single" w:color="D5DBE5" w:sz="4"/>
              <w:left w:val="single" w:color="D5DBE5" w:sz="4"/>
              <w:bottom w:val="single" w:color="D5DBE5" w:sz="4"/>
              <w:right w:val="single" w:color="D5DBE5" w:sz="4"/>
            </w:tcBorders>
            <w:shd w:fill="FFFFFF" w:color="auto" w:val="clear"/>
            <w:tcMar>
              <w:top w:type="dxa" w:w="50"/>
              <w:left w:type="dxa" w:w="90"/>
              <w:bottom w:type="dxa" w:w="50"/>
              <w:right w:type="dxa" w:w="90"/>
            </w:tcMar>
            <w:vAlign w:val="top"/>
          </w:tcPr>
          <w:p>
            <w:pPr>
              <w:spacing w:after="0" w:line="240"/>
            </w:pPr>
            <w:r>
              <w:rPr>
                <w:color w:val="1B2335"/>
                <w:sz w:val="17"/>
                <w:szCs w:val="17"/>
                <w:rFonts w:ascii="Calibri" w:cs="Calibri" w:eastAsia="Calibri" w:hAnsi="Calibri"/>
              </w:rPr>
              <w:t xml:space="preserve">$19</w:t>
            </w:r>
          </w:p>
        </w:tc>
      </w:tr>
    </w:tbl>
    <w:p>
      <w:pPr>
        <w:spacing w:after="60"/>
      </w:pPr>
    </w:p>
    <w:p>
      <w:pPr>
        <w:spacing w:before="0" w:after="100" w:line="264"/>
      </w:pPr>
      <w:r>
        <w:rPr>
          <w:color w:val="1B2335"/>
          <w:sz w:val="20"/>
          <w:szCs w:val="20"/>
          <w:rFonts w:ascii="Calibri" w:cs="Calibri" w:eastAsia="Calibri" w:hAnsi="Calibri"/>
        </w:rPr>
        <w:t xml:space="preserve">These results flatter the system. The test enquiries were written alongside the firm's definitions, so they show the model following rules more than coping with real-world variety. The clearest weakness is complexity, which every model overstates.</w:t>
      </w:r>
    </w:p>
    <w:p>
      <w:pPr>
        <w:spacing w:before="0" w:after="100" w:line="264"/>
      </w:pPr>
      <w:r>
        <w:rPr>
          <w:b/>
          <w:bCs/>
          <w:color w:val="0A1222"/>
          <w:sz w:val="20"/>
          <w:szCs w:val="20"/>
          <w:rFonts w:ascii="Calibri" w:cs="Calibri" w:eastAsia="Calibri" w:hAnsi="Calibri"/>
        </w:rPr>
        <w:t xml:space="preserve">Recommendation.</w:t>
      </w:r>
      <w:r>
        <w:rPr>
          <w:color w:val="1B2335"/>
          <w:sz w:val="20"/>
          <w:szCs w:val="20"/>
          <w:rFonts w:ascii="Calibri" w:cs="Calibri" w:eastAsia="Calibri" w:hAnsi="Calibri"/>
        </w:rPr>
        <w:t xml:space="preserve"> Run the system in shadow mode alongside the analyst, then as suggestions that team leads confirm with a click, and only then route clear-cut enquiries automatically. On the test set, about one enquiry in six needed a person. If that holds, the analyst's eight hours a week fall to one or two.</w:t>
      </w:r>
    </w:p>
    <w:p>
      <w:pPr>
        <w:pStyle w:val="Heading1"/>
      </w:pPr>
      <w:r>
        <w:rPr>
          <w:color w:val="0891B2"/>
          <w:rFonts w:ascii="Calibri" w:cs="Calibri" w:eastAsia="Calibri" w:hAnsi="Calibri"/>
        </w:rPr>
        <w:t xml:space="preserve">2  </w:t>
      </w:r>
      <w:r>
        <w:rPr>
          <w:rFonts w:ascii="Calibri" w:cs="Calibri" w:eastAsia="Calibri" w:hAnsi="Calibri"/>
        </w:rPr>
        <w:t xml:space="preserve">How it works</w:t>
      </w:r>
    </w:p>
    <w:p>
      <w:pPr>
        <w:spacing w:before="40" w:after="0"/>
        <w:jc w:val="center"/>
      </w:pPr>
      <w:r>
        <w:drawing>
          <wp:inline distT="0" distB="0" distL="0" distR="0">
            <wp:extent cx="6191250" cy="2638425"/>
            <wp:effectExtent t="0" r="0" b="0" l="0"/>
            <wp:docPr id="1" name="diagram.png" descr="diagram.png" title="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191250" cy="2638425"/>
                    </a:xfrm>
                    <a:prstGeom prst="rect">
                      <a:avLst/>
                    </a:prstGeom>
                  </pic:spPr>
                </pic:pic>
              </a:graphicData>
            </a:graphic>
          </wp:inline>
        </w:drawing>
      </w:r>
    </w:p>
    <w:p>
      <w:pPr>
        <w:spacing w:before="40" w:after="120"/>
        <w:jc w:val="center"/>
      </w:pPr>
      <w:r>
        <w:rPr>
          <w:i/>
          <w:iCs/>
          <w:color w:val="5B6478"/>
          <w:sz w:val="16"/>
          <w:szCs w:val="16"/>
          <w:rFonts w:ascii="Calibri" w:cs="Calibri" w:eastAsia="Calibri" w:hAnsi="Calibri"/>
        </w:rPr>
        <w:t xml:space="preserve">Figure 1. How an enquiry moves through the system</w:t>
      </w:r>
    </w:p>
    <w:p>
      <w:pPr>
        <w:spacing w:before="0" w:after="100" w:line="264"/>
      </w:pPr>
      <w:r>
        <w:rPr>
          <w:b/>
          <w:bCs/>
          <w:color w:val="0A1222"/>
          <w:sz w:val="20"/>
          <w:szCs w:val="20"/>
          <w:rFonts w:ascii="Calibri" w:cs="Calibri" w:eastAsia="Calibri" w:hAnsi="Calibri"/>
        </w:rPr>
        <w:t xml:space="preserve">Intake.</w:t>
      </w:r>
      <w:r>
        <w:rPr>
          <w:color w:val="1B2335"/>
          <w:sz w:val="20"/>
          <w:szCs w:val="20"/>
          <w:rFonts w:ascii="Calibri" w:cs="Calibri" w:eastAsia="Calibri" w:hAnsi="Calibri"/>
        </w:rPr>
        <w:t xml:space="preserve"> The submission is validated and the original wording kept exactly. A near-identical resubmission within a week is linked to the first, not triaged twice.</w:t>
      </w:r>
    </w:p>
    <w:p>
      <w:pPr>
        <w:spacing w:before="0" w:after="100" w:line="264"/>
      </w:pPr>
      <w:r>
        <w:rPr>
          <w:b/>
          <w:bCs/>
          <w:color w:val="0A1222"/>
          <w:sz w:val="20"/>
          <w:szCs w:val="20"/>
          <w:rFonts w:ascii="Calibri" w:cs="Calibri" w:eastAsia="Calibri" w:hAnsi="Calibri"/>
        </w:rPr>
        <w:t xml:space="preserve">Enrichment.</w:t>
      </w:r>
      <w:r>
        <w:rPr>
          <w:color w:val="1B2335"/>
          <w:sz w:val="20"/>
          <w:szCs w:val="20"/>
          <w:rFonts w:ascii="Calibri" w:cs="Calibri" w:eastAsia="Calibri" w:hAnsi="Calibri"/>
        </w:rPr>
        <w:t xml:space="preserve"> The CRM shows whether the company is a client, its relationship partner, the services already provided, the last engagement and any conflict of interest. Subsidiaries are resolved to their group, so a newly acquired business inherits its parent's partner and conflicts. Company records add size, revenue and ownership, and mismatches with what the client stated are flagged.</w:t>
      </w:r>
    </w:p>
    <w:p>
      <w:pPr>
        <w:spacing w:before="0" w:after="100" w:line="264"/>
      </w:pPr>
      <w:r>
        <w:rPr>
          <w:b/>
          <w:bCs/>
          <w:color w:val="0A1222"/>
          <w:sz w:val="20"/>
          <w:szCs w:val="20"/>
          <w:rFonts w:ascii="Calibri" w:cs="Calibri" w:eastAsia="Calibri" w:hAnsi="Calibri"/>
        </w:rPr>
        <w:t xml:space="preserve">Classification.</w:t>
      </w:r>
      <w:r>
        <w:rPr>
          <w:color w:val="1B2335"/>
          <w:sz w:val="20"/>
          <w:szCs w:val="20"/>
          <w:rFonts w:ascii="Calibri" w:cs="Calibri" w:eastAsia="Calibri" w:hAnsi="Calibri"/>
        </w:rPr>
        <w:t xml:space="preserve"> The model's instructions are generated from two documents the firm owns: the service-line definitions and the complexity and urgency rubric. The enquiry is treated as untrusted text, and any instructions inside it are flagged. The model returns a structured result: service lines, complexity with its rationale, urgency, key facts, questions for the client, risk flags and a one-line summary. Each enquiry is classified three times, and disagreement sends it to review; models are poor judges of their own confidence, so the system compares answers instead. A failed response is retried once, then passed to a person.</w:t>
      </w:r>
    </w:p>
    <w:p>
      <w:pPr>
        <w:spacing w:before="0" w:after="40" w:line="264"/>
      </w:pPr>
      <w:r>
        <w:rPr>
          <w:b/>
          <w:bCs/>
          <w:color w:val="0A1222"/>
          <w:sz w:val="20"/>
          <w:szCs w:val="20"/>
          <w:rFonts w:ascii="Calibri" w:cs="Calibri" w:eastAsia="Calibri" w:hAnsi="Calibri"/>
        </w:rPr>
        <w:t xml:space="preserve">Routing</w:t>
      </w:r>
      <w:r>
        <w:rPr>
          <w:color w:val="1B2335"/>
          <w:sz w:val="20"/>
          <w:szCs w:val="20"/>
          <w:rFonts w:ascii="Calibri" w:cs="Calibri" w:eastAsia="Calibri" w:hAnsi="Calibri"/>
        </w:rPr>
        <w:t xml:space="preserve"> is kept away from the model. These rules run in order, and the first that applies decides:</w:t>
      </w:r>
    </w:p>
    <w:p>
      <w:pPr>
        <w:pStyle w:val="ListParagraph"/>
        <w:numPr>
          <w:ilvl w:val="0"/>
          <w:numId w:val="2"/>
        </w:numPr>
        <w:spacing w:after="40" w:line="252"/>
      </w:pPr>
      <w:r>
        <w:rPr>
          <w:color w:val="1B2335"/>
          <w:sz w:val="20"/>
          <w:szCs w:val="20"/>
          <w:rFonts w:ascii="Calibri" w:cs="Calibri" w:eastAsia="Calibri" w:hAnsi="Calibri"/>
        </w:rPr>
        <w:t xml:space="preserve">Possible manipulation, a conflict of interest or a failed classification goes to a person.</w:t>
      </w:r>
    </w:p>
    <w:p>
      <w:pPr>
        <w:pStyle w:val="ListParagraph"/>
        <w:numPr>
          <w:ilvl w:val="0"/>
          <w:numId w:val="2"/>
        </w:numPr>
        <w:spacing w:after="40" w:line="252"/>
      </w:pPr>
      <w:r>
        <w:rPr>
          <w:color w:val="1B2335"/>
          <w:sz w:val="20"/>
          <w:szCs w:val="20"/>
          <w:rFonts w:ascii="Calibri" w:cs="Calibri" w:eastAsia="Calibri" w:hAnsi="Calibri"/>
        </w:rPr>
        <w:t xml:space="preserve">Spam, job applications and sales pitches are archived.</w:t>
      </w:r>
    </w:p>
    <w:p>
      <w:pPr>
        <w:pStyle w:val="ListParagraph"/>
        <w:numPr>
          <w:ilvl w:val="0"/>
          <w:numId w:val="2"/>
        </w:numPr>
        <w:spacing w:after="40" w:line="252"/>
      </w:pPr>
      <w:r>
        <w:rPr>
          <w:color w:val="1B2335"/>
          <w:sz w:val="20"/>
          <w:szCs w:val="20"/>
          <w:rFonts w:ascii="Calibri" w:cs="Calibri" w:eastAsia="Calibri" w:hAnsi="Calibri"/>
        </w:rPr>
        <w:t xml:space="preserve">Existing clients go to their relationship partner, with the service-line lead copied.</w:t>
      </w:r>
    </w:p>
    <w:p>
      <w:pPr>
        <w:pStyle w:val="ListParagraph"/>
        <w:numPr>
          <w:ilvl w:val="0"/>
          <w:numId w:val="2"/>
        </w:numPr>
        <w:spacing w:after="40" w:line="252"/>
      </w:pPr>
      <w:r>
        <w:rPr>
          <w:color w:val="1B2335"/>
          <w:sz w:val="20"/>
          <w:szCs w:val="20"/>
          <w:rFonts w:ascii="Calibri" w:cs="Calibri" w:eastAsia="Calibri" w:hAnsi="Calibri"/>
        </w:rPr>
        <w:t xml:space="preserve">Vague or out-of-scope enquiries, and those where the runs disagreed, go to the review queue.</w:t>
      </w:r>
    </w:p>
    <w:p>
      <w:pPr>
        <w:pStyle w:val="ListParagraph"/>
        <w:numPr>
          <w:ilvl w:val="0"/>
          <w:numId w:val="2"/>
        </w:numPr>
        <w:spacing w:after="40" w:line="252"/>
      </w:pPr>
      <w:r>
        <w:rPr>
          <w:color w:val="1B2335"/>
          <w:sz w:val="20"/>
          <w:szCs w:val="20"/>
          <w:rFonts w:ascii="Calibri" w:cs="Calibri" w:eastAsia="Calibri" w:hAnsi="Calibri"/>
        </w:rPr>
        <w:t xml:space="preserve">Complex, urgent work goes to the service-line lead, with the practice head copied.</w:t>
      </w:r>
    </w:p>
    <w:p>
      <w:pPr>
        <w:pStyle w:val="ListParagraph"/>
        <w:numPr>
          <w:ilvl w:val="0"/>
          <w:numId w:val="2"/>
        </w:numPr>
        <w:spacing w:after="40" w:line="252"/>
      </w:pPr>
      <w:r>
        <w:rPr>
          <w:color w:val="1B2335"/>
          <w:sz w:val="20"/>
          <w:szCs w:val="20"/>
          <w:rFonts w:ascii="Calibri" w:cs="Calibri" w:eastAsia="Calibri" w:hAnsi="Calibri"/>
        </w:rPr>
        <w:t xml:space="preserve">Everything else goes to the service-line lead.</w:t>
      </w:r>
    </w:p>
    <w:p>
      <w:pPr>
        <w:spacing w:before="0" w:after="100" w:line="264"/>
      </w:pPr>
      <w:r>
        <w:rPr>
          <w:color w:val="1B2335"/>
          <w:sz w:val="20"/>
          <w:szCs w:val="20"/>
          <w:rFonts w:ascii="Calibri" w:cs="Calibri" w:eastAsia="Calibri" w:hAnsi="Calibri"/>
        </w:rPr>
        <w:t xml:space="preserve">The model can only choose from the firm's service lines, so it cannot name a person or invent a destination. Every rule checked is recorded and shown with the enquiry, along with all three model responses, timings and cost.</w:t>
      </w:r>
    </w:p>
    <w:p>
      <w:pPr>
        <w:spacing w:before="0" w:after="100" w:line="264"/>
      </w:pPr>
      <w:r>
        <w:rPr>
          <w:b/>
          <w:bCs/>
          <w:color w:val="0A1222"/>
          <w:sz w:val="20"/>
          <w:szCs w:val="20"/>
          <w:rFonts w:ascii="Calibri" w:cs="Calibri" w:eastAsia="Calibri" w:hAnsi="Calibri"/>
        </w:rPr>
        <w:t xml:space="preserve">Keeping the logic in the firm's hands.</w:t>
      </w:r>
      <w:r>
        <w:rPr>
          <w:color w:val="1B2335"/>
          <w:sz w:val="20"/>
          <w:szCs w:val="20"/>
          <w:rFonts w:ascii="Calibri" w:cs="Calibri" w:eastAsia="Calibri" w:hAnsi="Calibri"/>
        </w:rPr>
        <w:t xml:space="preserve"> Definitions, rubric, team leads and rules live in configuration. Practice operations can change them on a configuration screen. Before a change is saved, it shows which past enquiries would have been routed differently. Changes are logged, reversible, and recorded against every decision they produce.</w:t>
      </w:r>
    </w:p>
    <w:p>
      <w:pPr>
        <w:pStyle w:val="Heading2"/>
      </w:pPr>
      <w:r>
        <w:rPr>
          <w:rFonts w:ascii="Calibri" w:cs="Calibri" w:eastAsia="Calibri" w:hAnsi="Calibri"/>
        </w:rPr>
        <w:t xml:space="preserve">Model and API choices</w:t>
      </w:r>
    </w:p>
    <w:p>
      <w:pPr>
        <w:spacing w:before="0" w:after="100" w:line="264"/>
      </w:pPr>
      <w:r>
        <w:rPr>
          <w:color w:val="1B2335"/>
          <w:sz w:val="20"/>
          <w:szCs w:val="20"/>
          <w:rFonts w:ascii="Calibri" w:cs="Calibri" w:eastAsia="Calibri" w:hAnsi="Calibri"/>
        </w:rPr>
        <w:t xml:space="preserve">Models are accessed through OpenRouter. It gives one interface across vendors, automatic fallback to a backup model, and the actual cost of each call. Claude Sonnet 5.5 is the default because it judged complexity best and explained itself most clearly; at ten enquiries a day the cost difference is small. Claude Haiku matched it on routing and safety at a sixteenth of the cost, which matters if volume grows.</w:t>
      </w:r>
    </w:p>
    <w:p>
      <w:pPr>
        <w:spacing w:before="0" w:after="100" w:line="264"/>
      </w:pPr>
      <w:r>
        <w:rPr>
          <w:color w:val="1B2335"/>
          <w:sz w:val="20"/>
          <w:szCs w:val="20"/>
          <w:rFonts w:ascii="Calibri" w:cs="Calibri" w:eastAsia="Calibri" w:hAnsi="Calibri"/>
        </w:rPr>
        <w:t xml:space="preserve">The trade-off is a third party in the path of client data. In production I would restrict it to zero-retention providers, cover it in the data processing agreement and strip personal details before sending. Once a model is chosen, I'd call that provider directly from the firm's own cloud account, which is a small change because the model sits behind one interface.</w:t>
      </w:r>
    </w:p>
    <w:p>
      <w:pPr>
        <w:pStyle w:val="Heading2"/>
      </w:pPr>
      <w:r>
        <w:rPr>
          <w:rFonts w:ascii="Calibri" w:cs="Calibri" w:eastAsia="Calibri" w:hAnsi="Calibri"/>
        </w:rPr>
        <w:t xml:space="preserve">Integration points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82"/>
        <w:gridCol w:w="3110"/>
        <w:gridCol w:w="4354"/>
      </w:tblGrid>
      <w:tr>
        <w:trPr>
          <w:tblHeader/>
        </w:trPr>
        <w:tc>
          <w:tcPr>
            <w:tcW w:type="dxa" w:w="2282"/>
            <w:tcBorders>
              <w:top w:val="single" w:color="D5DBE5" w:sz="4"/>
              <w:left w:val="single" w:color="D5DBE5" w:sz="4"/>
              <w:bottom w:val="single" w:color="D5DBE5" w:sz="4"/>
              <w:right w:val="single" w:color="D5DBE5" w:sz="4"/>
            </w:tcBorders>
            <w:shd w:fill="E8F7FA" w:color="auto" w:val="clear"/>
            <w:tcMar>
              <w:top w:type="dxa" w:w="50"/>
              <w:left w:type="dxa" w:w="90"/>
              <w:bottom w:type="dxa" w:w="50"/>
              <w:right w:type="dxa" w:w="90"/>
            </w:tcMar>
            <w:vAlign w:val="top"/>
          </w:tcPr>
          <w:p>
            <w:pPr>
              <w:spacing w:after="0" w:line="240"/>
            </w:pPr>
            <w:r>
              <w:rPr>
                <w:b/>
                <w:bCs/>
                <w:color w:val="0A1222"/>
                <w:sz w:val="17"/>
                <w:szCs w:val="17"/>
                <w:rFonts w:ascii="Calibri" w:cs="Calibri" w:eastAsia="Calibri" w:hAnsi="Calibri"/>
              </w:rPr>
              <w:t xml:space="preserve">Component</w:t>
            </w:r>
          </w:p>
        </w:tc>
        <w:tc>
          <w:tcPr>
            <w:tcW w:type="dxa" w:w="3110"/>
            <w:tcBorders>
              <w:top w:val="single" w:color="D5DBE5" w:sz="4"/>
              <w:left w:val="single" w:color="D5DBE5" w:sz="4"/>
              <w:bottom w:val="single" w:color="D5DBE5" w:sz="4"/>
              <w:right w:val="single" w:color="D5DBE5" w:sz="4"/>
            </w:tcBorders>
            <w:shd w:fill="E8F7FA" w:color="auto" w:val="clear"/>
            <w:tcMar>
              <w:top w:type="dxa" w:w="50"/>
              <w:left w:type="dxa" w:w="90"/>
              <w:bottom w:type="dxa" w:w="50"/>
              <w:right w:type="dxa" w:w="90"/>
            </w:tcMar>
            <w:vAlign w:val="top"/>
          </w:tcPr>
          <w:p>
            <w:pPr>
              <w:spacing w:after="0" w:line="240"/>
            </w:pPr>
            <w:r>
              <w:rPr>
                <w:b/>
                <w:bCs/>
                <w:color w:val="0A1222"/>
                <w:sz w:val="17"/>
                <w:szCs w:val="17"/>
                <w:rFonts w:ascii="Calibri" w:cs="Calibri" w:eastAsia="Calibri" w:hAnsi="Calibri"/>
              </w:rPr>
              <w:t xml:space="preserve">Prototype</w:t>
            </w:r>
          </w:p>
        </w:tc>
        <w:tc>
          <w:tcPr>
            <w:tcW w:type="dxa" w:w="4354"/>
            <w:tcBorders>
              <w:top w:val="single" w:color="D5DBE5" w:sz="4"/>
              <w:left w:val="single" w:color="D5DBE5" w:sz="4"/>
              <w:bottom w:val="single" w:color="D5DBE5" w:sz="4"/>
              <w:right w:val="single" w:color="D5DBE5" w:sz="4"/>
            </w:tcBorders>
            <w:shd w:fill="E8F7FA" w:color="auto" w:val="clear"/>
            <w:tcMar>
              <w:top w:type="dxa" w:w="50"/>
              <w:left w:type="dxa" w:w="90"/>
              <w:bottom w:type="dxa" w:w="50"/>
              <w:right w:type="dxa" w:w="90"/>
            </w:tcMar>
            <w:vAlign w:val="top"/>
          </w:tcPr>
          <w:p>
            <w:pPr>
              <w:spacing w:after="0" w:line="240"/>
            </w:pPr>
            <w:r>
              <w:rPr>
                <w:b/>
                <w:bCs/>
                <w:color w:val="0A1222"/>
                <w:sz w:val="17"/>
                <w:szCs w:val="17"/>
                <w:rFonts w:ascii="Calibri" w:cs="Calibri" w:eastAsia="Calibri" w:hAnsi="Calibri"/>
              </w:rPr>
              <w:t xml:space="preserve">Production</w:t>
            </w:r>
          </w:p>
        </w:tc>
      </w:tr>
      <w:tr>
        <w:trPr>
          <w:cantSplit/>
        </w:trPr>
        <w:tc>
          <w:tcPr>
            <w:tcW w:type="dxa" w:w="2282"/>
            <w:tcBorders>
              <w:top w:val="single" w:color="D5DBE5" w:sz="4"/>
              <w:left w:val="single" w:color="D5DBE5" w:sz="4"/>
              <w:bottom w:val="single" w:color="D5DBE5" w:sz="4"/>
              <w:right w:val="single" w:color="D5DBE5" w:sz="4"/>
            </w:tcBorders>
            <w:shd w:fill="FFFFFF" w:color="auto" w:val="clear"/>
            <w:tcMar>
              <w:top w:type="dxa" w:w="50"/>
              <w:left w:type="dxa" w:w="90"/>
              <w:bottom w:type="dxa" w:w="50"/>
              <w:right w:type="dxa" w:w="90"/>
            </w:tcMar>
            <w:vAlign w:val="top"/>
          </w:tcPr>
          <w:p>
            <w:pPr>
              <w:spacing w:after="0" w:line="240"/>
            </w:pPr>
            <w:r>
              <w:rPr>
                <w:color w:val="1B2335"/>
                <w:sz w:val="17"/>
                <w:szCs w:val="17"/>
                <w:rFonts w:ascii="Calibri" w:cs="Calibri" w:eastAsia="Calibri" w:hAnsi="Calibri"/>
              </w:rPr>
              <w:t xml:space="preserve">Client and company data</w:t>
            </w:r>
          </w:p>
        </w:tc>
        <w:tc>
          <w:tcPr>
            <w:tcW w:type="dxa" w:w="3110"/>
            <w:tcBorders>
              <w:top w:val="single" w:color="D5DBE5" w:sz="4"/>
              <w:left w:val="single" w:color="D5DBE5" w:sz="4"/>
              <w:bottom w:val="single" w:color="D5DBE5" w:sz="4"/>
              <w:right w:val="single" w:color="D5DBE5" w:sz="4"/>
            </w:tcBorders>
            <w:shd w:fill="FFFFFF" w:color="auto" w:val="clear"/>
            <w:tcMar>
              <w:top w:type="dxa" w:w="50"/>
              <w:left w:type="dxa" w:w="90"/>
              <w:bottom w:type="dxa" w:w="50"/>
              <w:right w:type="dxa" w:w="90"/>
            </w:tcMar>
            <w:vAlign w:val="top"/>
          </w:tcPr>
          <w:p>
            <w:pPr>
              <w:spacing w:after="0" w:line="240"/>
            </w:pPr>
            <w:r>
              <w:rPr>
                <w:color w:val="1B2335"/>
                <w:sz w:val="17"/>
                <w:szCs w:val="17"/>
                <w:rFonts w:ascii="Calibri" w:cs="Calibri" w:eastAsia="Calibri" w:hAnsi="Calibri"/>
              </w:rPr>
              <w:t xml:space="preserve">Sample CRM of 28 companies, with group structures</w:t>
            </w:r>
          </w:p>
        </w:tc>
        <w:tc>
          <w:tcPr>
            <w:tcW w:type="dxa" w:w="4354"/>
            <w:tcBorders>
              <w:top w:val="single" w:color="D5DBE5" w:sz="4"/>
              <w:left w:val="single" w:color="D5DBE5" w:sz="4"/>
              <w:bottom w:val="single" w:color="D5DBE5" w:sz="4"/>
              <w:right w:val="single" w:color="D5DBE5" w:sz="4"/>
            </w:tcBorders>
            <w:shd w:fill="FFFFFF" w:color="auto" w:val="clear"/>
            <w:tcMar>
              <w:top w:type="dxa" w:w="50"/>
              <w:left w:type="dxa" w:w="90"/>
              <w:bottom w:type="dxa" w:w="50"/>
              <w:right w:type="dxa" w:w="90"/>
            </w:tcMar>
            <w:vAlign w:val="top"/>
          </w:tcPr>
          <w:p>
            <w:pPr>
              <w:spacing w:after="0" w:line="240"/>
            </w:pPr>
            <w:r>
              <w:rPr>
                <w:color w:val="1B2335"/>
                <w:sz w:val="17"/>
                <w:szCs w:val="17"/>
                <w:rFonts w:ascii="Calibri" w:cs="Calibri" w:eastAsia="Calibri" w:hAnsi="Calibri"/>
              </w:rPr>
              <w:t xml:space="preserve">CRM (Dynamics or Salesforce) and Companies House or D&amp;B</w:t>
            </w:r>
          </w:p>
        </w:tc>
      </w:tr>
      <w:tr>
        <w:trPr>
          <w:cantSplit/>
        </w:trPr>
        <w:tc>
          <w:tcPr>
            <w:tcW w:type="dxa" w:w="2282"/>
            <w:tcBorders>
              <w:top w:val="single" w:color="D5DBE5" w:sz="4"/>
              <w:left w:val="single" w:color="D5DBE5" w:sz="4"/>
              <w:bottom w:val="single" w:color="D5DBE5" w:sz="4"/>
              <w:right w:val="single" w:color="D5DBE5" w:sz="4"/>
            </w:tcBorders>
            <w:shd w:fill="F7F9FC" w:color="auto" w:val="clear"/>
            <w:tcMar>
              <w:top w:type="dxa" w:w="50"/>
              <w:left w:type="dxa" w:w="90"/>
              <w:bottom w:type="dxa" w:w="50"/>
              <w:right w:type="dxa" w:w="90"/>
            </w:tcMar>
            <w:vAlign w:val="top"/>
          </w:tcPr>
          <w:p>
            <w:pPr>
              <w:spacing w:after="0" w:line="240"/>
            </w:pPr>
            <w:r>
              <w:rPr>
                <w:color w:val="1B2335"/>
                <w:sz w:val="17"/>
                <w:szCs w:val="17"/>
                <w:rFonts w:ascii="Calibri" w:cs="Calibri" w:eastAsia="Calibri" w:hAnsi="Calibri"/>
              </w:rPr>
              <w:t xml:space="preserve">Conflict check</w:t>
            </w:r>
          </w:p>
        </w:tc>
        <w:tc>
          <w:tcPr>
            <w:tcW w:type="dxa" w:w="3110"/>
            <w:tcBorders>
              <w:top w:val="single" w:color="D5DBE5" w:sz="4"/>
              <w:left w:val="single" w:color="D5DBE5" w:sz="4"/>
              <w:bottom w:val="single" w:color="D5DBE5" w:sz="4"/>
              <w:right w:val="single" w:color="D5DBE5" w:sz="4"/>
            </w:tcBorders>
            <w:shd w:fill="F7F9FC" w:color="auto" w:val="clear"/>
            <w:tcMar>
              <w:top w:type="dxa" w:w="50"/>
              <w:left w:type="dxa" w:w="90"/>
              <w:bottom w:type="dxa" w:w="50"/>
              <w:right w:type="dxa" w:w="90"/>
            </w:tcMar>
            <w:vAlign w:val="top"/>
          </w:tcPr>
          <w:p>
            <w:pPr>
              <w:spacing w:after="0" w:line="240"/>
            </w:pPr>
            <w:r>
              <w:rPr>
                <w:color w:val="1B2335"/>
                <w:sz w:val="17"/>
                <w:szCs w:val="17"/>
                <w:rFonts w:ascii="Calibri" w:cs="Calibri" w:eastAsia="Calibri" w:hAnsi="Calibri"/>
              </w:rPr>
              <w:t xml:space="preserve">A field in the sample CRM</w:t>
            </w:r>
          </w:p>
        </w:tc>
        <w:tc>
          <w:tcPr>
            <w:tcW w:type="dxa" w:w="4354"/>
            <w:tcBorders>
              <w:top w:val="single" w:color="D5DBE5" w:sz="4"/>
              <w:left w:val="single" w:color="D5DBE5" w:sz="4"/>
              <w:bottom w:val="single" w:color="D5DBE5" w:sz="4"/>
              <w:right w:val="single" w:color="D5DBE5" w:sz="4"/>
            </w:tcBorders>
            <w:shd w:fill="F7F9FC" w:color="auto" w:val="clear"/>
            <w:tcMar>
              <w:top w:type="dxa" w:w="50"/>
              <w:left w:type="dxa" w:w="90"/>
              <w:bottom w:type="dxa" w:w="50"/>
              <w:right w:type="dxa" w:w="90"/>
            </w:tcMar>
            <w:vAlign w:val="top"/>
          </w:tcPr>
          <w:p>
            <w:pPr>
              <w:spacing w:after="0" w:line="240"/>
            </w:pPr>
            <w:r>
              <w:rPr>
                <w:color w:val="1B2335"/>
                <w:sz w:val="17"/>
                <w:szCs w:val="17"/>
                <w:rFonts w:ascii="Calibri" w:cs="Calibri" w:eastAsia="Calibri" w:hAnsi="Calibri"/>
              </w:rPr>
              <w:t xml:space="preserve">The firm's conflicts system, checked before routing</w:t>
            </w:r>
          </w:p>
        </w:tc>
      </w:tr>
      <w:tr>
        <w:trPr>
          <w:cantSplit/>
        </w:trPr>
        <w:tc>
          <w:tcPr>
            <w:tcW w:type="dxa" w:w="2282"/>
            <w:tcBorders>
              <w:top w:val="single" w:color="D5DBE5" w:sz="4"/>
              <w:left w:val="single" w:color="D5DBE5" w:sz="4"/>
              <w:bottom w:val="single" w:color="D5DBE5" w:sz="4"/>
              <w:right w:val="single" w:color="D5DBE5" w:sz="4"/>
            </w:tcBorders>
            <w:shd w:fill="FFFFFF" w:color="auto" w:val="clear"/>
            <w:tcMar>
              <w:top w:type="dxa" w:w="50"/>
              <w:left w:type="dxa" w:w="90"/>
              <w:bottom w:type="dxa" w:w="50"/>
              <w:right w:type="dxa" w:w="90"/>
            </w:tcMar>
            <w:vAlign w:val="top"/>
          </w:tcPr>
          <w:p>
            <w:pPr>
              <w:spacing w:after="0" w:line="240"/>
            </w:pPr>
            <w:r>
              <w:rPr>
                <w:color w:val="1B2335"/>
                <w:sz w:val="17"/>
                <w:szCs w:val="17"/>
                <w:rFonts w:ascii="Calibri" w:cs="Calibri" w:eastAsia="Calibri" w:hAnsi="Calibri"/>
              </w:rPr>
              <w:t xml:space="preserve">Language model</w:t>
            </w:r>
          </w:p>
        </w:tc>
        <w:tc>
          <w:tcPr>
            <w:tcW w:type="dxa" w:w="3110"/>
            <w:tcBorders>
              <w:top w:val="single" w:color="D5DBE5" w:sz="4"/>
              <w:left w:val="single" w:color="D5DBE5" w:sz="4"/>
              <w:bottom w:val="single" w:color="D5DBE5" w:sz="4"/>
              <w:right w:val="single" w:color="D5DBE5" w:sz="4"/>
            </w:tcBorders>
            <w:shd w:fill="FFFFFF" w:color="auto" w:val="clear"/>
            <w:tcMar>
              <w:top w:type="dxa" w:w="50"/>
              <w:left w:type="dxa" w:w="90"/>
              <w:bottom w:type="dxa" w:w="50"/>
              <w:right w:type="dxa" w:w="90"/>
            </w:tcMar>
            <w:vAlign w:val="top"/>
          </w:tcPr>
          <w:p>
            <w:pPr>
              <w:spacing w:after="0" w:line="240"/>
            </w:pPr>
            <w:r>
              <w:rPr>
                <w:color w:val="1B2335"/>
                <w:sz w:val="17"/>
                <w:szCs w:val="17"/>
                <w:rFonts w:ascii="Calibri" w:cs="Calibri" w:eastAsia="Calibri" w:hAnsi="Calibri"/>
              </w:rPr>
              <w:t xml:space="preserve">OpenRouter</w:t>
            </w:r>
          </w:p>
        </w:tc>
        <w:tc>
          <w:tcPr>
            <w:tcW w:type="dxa" w:w="4354"/>
            <w:tcBorders>
              <w:top w:val="single" w:color="D5DBE5" w:sz="4"/>
              <w:left w:val="single" w:color="D5DBE5" w:sz="4"/>
              <w:bottom w:val="single" w:color="D5DBE5" w:sz="4"/>
              <w:right w:val="single" w:color="D5DBE5" w:sz="4"/>
            </w:tcBorders>
            <w:shd w:fill="FFFFFF" w:color="auto" w:val="clear"/>
            <w:tcMar>
              <w:top w:type="dxa" w:w="50"/>
              <w:left w:type="dxa" w:w="90"/>
              <w:bottom w:type="dxa" w:w="50"/>
              <w:right w:type="dxa" w:w="90"/>
            </w:tcMar>
            <w:vAlign w:val="top"/>
          </w:tcPr>
          <w:p>
            <w:pPr>
              <w:spacing w:after="0" w:line="240"/>
            </w:pPr>
            <w:r>
              <w:rPr>
                <w:color w:val="1B2335"/>
                <w:sz w:val="17"/>
                <w:szCs w:val="17"/>
                <w:rFonts w:ascii="Calibri" w:cs="Calibri" w:eastAsia="Calibri" w:hAnsi="Calibri"/>
              </w:rPr>
              <w:t xml:space="preserve">Zero-retention providers only, or the chosen provider directly</w:t>
            </w:r>
          </w:p>
        </w:tc>
      </w:tr>
      <w:tr>
        <w:trPr>
          <w:cantSplit/>
        </w:trPr>
        <w:tc>
          <w:tcPr>
            <w:tcW w:type="dxa" w:w="2282"/>
            <w:tcBorders>
              <w:top w:val="single" w:color="D5DBE5" w:sz="4"/>
              <w:left w:val="single" w:color="D5DBE5" w:sz="4"/>
              <w:bottom w:val="single" w:color="D5DBE5" w:sz="4"/>
              <w:right w:val="single" w:color="D5DBE5" w:sz="4"/>
            </w:tcBorders>
            <w:shd w:fill="F7F9FC" w:color="auto" w:val="clear"/>
            <w:tcMar>
              <w:top w:type="dxa" w:w="50"/>
              <w:left w:type="dxa" w:w="90"/>
              <w:bottom w:type="dxa" w:w="50"/>
              <w:right w:type="dxa" w:w="90"/>
            </w:tcMar>
            <w:vAlign w:val="top"/>
          </w:tcPr>
          <w:p>
            <w:pPr>
              <w:spacing w:after="0" w:line="240"/>
            </w:pPr>
            <w:r>
              <w:rPr>
                <w:color w:val="1B2335"/>
                <w:sz w:val="17"/>
                <w:szCs w:val="17"/>
                <w:rFonts w:ascii="Calibri" w:cs="Calibri" w:eastAsia="Calibri" w:hAnsi="Calibri"/>
              </w:rPr>
              <w:t xml:space="preserve">Notifications</w:t>
            </w:r>
          </w:p>
        </w:tc>
        <w:tc>
          <w:tcPr>
            <w:tcW w:type="dxa" w:w="3110"/>
            <w:tcBorders>
              <w:top w:val="single" w:color="D5DBE5" w:sz="4"/>
              <w:left w:val="single" w:color="D5DBE5" w:sz="4"/>
              <w:bottom w:val="single" w:color="D5DBE5" w:sz="4"/>
              <w:right w:val="single" w:color="D5DBE5" w:sz="4"/>
            </w:tcBorders>
            <w:shd w:fill="F7F9FC" w:color="auto" w:val="clear"/>
            <w:tcMar>
              <w:top w:type="dxa" w:w="50"/>
              <w:left w:type="dxa" w:w="90"/>
              <w:bottom w:type="dxa" w:w="50"/>
              <w:right w:type="dxa" w:w="90"/>
            </w:tcMar>
            <w:vAlign w:val="top"/>
          </w:tcPr>
          <w:p>
            <w:pPr>
              <w:spacing w:after="0" w:line="240"/>
            </w:pPr>
            <w:r>
              <w:rPr>
                <w:color w:val="1B2335"/>
                <w:sz w:val="17"/>
                <w:szCs w:val="17"/>
                <w:rFonts w:ascii="Calibri" w:cs="Calibri" w:eastAsia="Calibri" w:hAnsi="Calibri"/>
              </w:rPr>
              <w:t xml:space="preserve">Rendered and logged</w:t>
            </w:r>
          </w:p>
        </w:tc>
        <w:tc>
          <w:tcPr>
            <w:tcW w:type="dxa" w:w="4354"/>
            <w:tcBorders>
              <w:top w:val="single" w:color="D5DBE5" w:sz="4"/>
              <w:left w:val="single" w:color="D5DBE5" w:sz="4"/>
              <w:bottom w:val="single" w:color="D5DBE5" w:sz="4"/>
              <w:right w:val="single" w:color="D5DBE5" w:sz="4"/>
            </w:tcBorders>
            <w:shd w:fill="F7F9FC" w:color="auto" w:val="clear"/>
            <w:tcMar>
              <w:top w:type="dxa" w:w="50"/>
              <w:left w:type="dxa" w:w="90"/>
              <w:bottom w:type="dxa" w:w="50"/>
              <w:right w:type="dxa" w:w="90"/>
            </w:tcMar>
            <w:vAlign w:val="top"/>
          </w:tcPr>
          <w:p>
            <w:pPr>
              <w:spacing w:after="0" w:line="240"/>
            </w:pPr>
            <w:r>
              <w:rPr>
                <w:color w:val="1B2335"/>
                <w:sz w:val="17"/>
                <w:szCs w:val="17"/>
                <w:rFonts w:ascii="Calibri" w:cs="Calibri" w:eastAsia="Calibri" w:hAnsi="Calibri"/>
              </w:rPr>
              <w:t xml:space="preserve">Email and Slack, with signed accept and reassign links</w:t>
            </w:r>
          </w:p>
        </w:tc>
      </w:tr>
      <w:tr>
        <w:trPr>
          <w:cantSplit/>
        </w:trPr>
        <w:tc>
          <w:tcPr>
            <w:tcW w:type="dxa" w:w="2282"/>
            <w:tcBorders>
              <w:top w:val="single" w:color="D5DBE5" w:sz="4"/>
              <w:left w:val="single" w:color="D5DBE5" w:sz="4"/>
              <w:bottom w:val="single" w:color="D5DBE5" w:sz="4"/>
              <w:right w:val="single" w:color="D5DBE5" w:sz="4"/>
            </w:tcBorders>
            <w:shd w:fill="FFFFFF" w:color="auto" w:val="clear"/>
            <w:tcMar>
              <w:top w:type="dxa" w:w="50"/>
              <w:left w:type="dxa" w:w="90"/>
              <w:bottom w:type="dxa" w:w="50"/>
              <w:right w:type="dxa" w:w="90"/>
            </w:tcMar>
            <w:vAlign w:val="top"/>
          </w:tcPr>
          <w:p>
            <w:pPr>
              <w:spacing w:after="0" w:line="240"/>
            </w:pPr>
            <w:r>
              <w:rPr>
                <w:color w:val="1B2335"/>
                <w:sz w:val="17"/>
                <w:szCs w:val="17"/>
                <w:rFonts w:ascii="Calibri" w:cs="Calibri" w:eastAsia="Calibri" w:hAnsi="Calibri"/>
              </w:rPr>
              <w:t xml:space="preserve">Storage and access</w:t>
            </w:r>
          </w:p>
        </w:tc>
        <w:tc>
          <w:tcPr>
            <w:tcW w:type="dxa" w:w="3110"/>
            <w:tcBorders>
              <w:top w:val="single" w:color="D5DBE5" w:sz="4"/>
              <w:left w:val="single" w:color="D5DBE5" w:sz="4"/>
              <w:bottom w:val="single" w:color="D5DBE5" w:sz="4"/>
              <w:right w:val="single" w:color="D5DBE5" w:sz="4"/>
            </w:tcBorders>
            <w:shd w:fill="FFFFFF" w:color="auto" w:val="clear"/>
            <w:tcMar>
              <w:top w:type="dxa" w:w="50"/>
              <w:left w:type="dxa" w:w="90"/>
              <w:bottom w:type="dxa" w:w="50"/>
              <w:right w:type="dxa" w:w="90"/>
            </w:tcMar>
            <w:vAlign w:val="top"/>
          </w:tcPr>
          <w:p>
            <w:pPr>
              <w:spacing w:after="0" w:line="240"/>
            </w:pPr>
            <w:r>
              <w:rPr>
                <w:color w:val="1B2335"/>
                <w:sz w:val="17"/>
                <w:szCs w:val="17"/>
                <w:rFonts w:ascii="Calibri" w:cs="Calibri" w:eastAsia="Calibri" w:hAnsi="Calibri"/>
              </w:rPr>
              <w:t xml:space="preserve">SQLite; open access</w:t>
            </w:r>
          </w:p>
        </w:tc>
        <w:tc>
          <w:tcPr>
            <w:tcW w:type="dxa" w:w="4354"/>
            <w:tcBorders>
              <w:top w:val="single" w:color="D5DBE5" w:sz="4"/>
              <w:left w:val="single" w:color="D5DBE5" w:sz="4"/>
              <w:bottom w:val="single" w:color="D5DBE5" w:sz="4"/>
              <w:right w:val="single" w:color="D5DBE5" w:sz="4"/>
            </w:tcBorders>
            <w:shd w:fill="FFFFFF" w:color="auto" w:val="clear"/>
            <w:tcMar>
              <w:top w:type="dxa" w:w="50"/>
              <w:left w:type="dxa" w:w="90"/>
              <w:bottom w:type="dxa" w:w="50"/>
              <w:right w:type="dxa" w:w="90"/>
            </w:tcMar>
            <w:vAlign w:val="top"/>
          </w:tcPr>
          <w:p>
            <w:pPr>
              <w:spacing w:after="0" w:line="240"/>
            </w:pPr>
            <w:r>
              <w:rPr>
                <w:color w:val="1B2335"/>
                <w:sz w:val="17"/>
                <w:szCs w:val="17"/>
                <w:rFonts w:ascii="Calibri" w:cs="Calibri" w:eastAsia="Calibri" w:hAnsi="Calibri"/>
              </w:rPr>
              <w:t xml:space="preserve">Postgres; single sign-on, with configuration limited to administrators</w:t>
            </w:r>
          </w:p>
        </w:tc>
      </w:tr>
    </w:tbl>
    <w:p>
      <w:pPr>
        <w:spacing w:after="60"/>
      </w:pPr>
    </w:p>
    <w:p>
      <w:pPr>
        <w:spacing w:before="0" w:after="100" w:line="264"/>
      </w:pPr>
      <w:r>
        <w:rPr>
          <w:b/>
          <w:bCs/>
          <w:color w:val="0A1222"/>
          <w:sz w:val="20"/>
          <w:szCs w:val="20"/>
          <w:rFonts w:ascii="Calibri" w:cs="Calibri" w:eastAsia="Calibri" w:hAnsi="Calibri"/>
        </w:rPr>
        <w:t xml:space="preserve">Next step: on-demand external enrichment.</w:t>
      </w:r>
      <w:r>
        <w:rPr>
          <w:color w:val="1B2335"/>
          <w:sz w:val="20"/>
          <w:szCs w:val="20"/>
          <w:rFonts w:ascii="Calibri" w:cs="Calibri" w:eastAsia="Calibri" w:hAnsi="Calibri"/>
        </w:rPr>
        <w:t xml:space="preserve"> Most enquiries come from prospects the CRM doesn't know. For those, and for complex or high-value work, the system could look outward:</w:t>
      </w:r>
    </w:p>
    <w:p>
      <w:pPr>
        <w:pStyle w:val="ListParagraph"/>
        <w:numPr>
          <w:ilvl w:val="0"/>
          <w:numId w:val="3"/>
        </w:numPr>
        <w:spacing w:after="40" w:line="252"/>
      </w:pPr>
      <w:r>
        <w:rPr>
          <w:b/>
          <w:bCs/>
          <w:color w:val="0A1222"/>
          <w:sz w:val="20"/>
          <w:szCs w:val="20"/>
          <w:rFonts w:ascii="Calibri" w:cs="Calibri" w:eastAsia="Calibri" w:hAnsi="Calibri"/>
        </w:rPr>
        <w:t xml:space="preserve">Exa,</w:t>
      </w:r>
      <w:r>
        <w:rPr>
          <w:color w:val="1B2335"/>
          <w:sz w:val="20"/>
          <w:szCs w:val="20"/>
          <w:rFonts w:ascii="Calibri" w:cs="Calibri" w:eastAsia="Calibri" w:hAnsi="Calibri"/>
        </w:rPr>
        <w:t xml:space="preserve"> for recent news and filings about a company.</w:t>
      </w:r>
    </w:p>
    <w:p>
      <w:pPr>
        <w:pStyle w:val="ListParagraph"/>
        <w:numPr>
          <w:ilvl w:val="0"/>
          <w:numId w:val="3"/>
        </w:numPr>
        <w:spacing w:after="40" w:line="252"/>
      </w:pPr>
      <w:r>
        <w:rPr>
          <w:b/>
          <w:bCs/>
          <w:color w:val="0A1222"/>
          <w:sz w:val="20"/>
          <w:szCs w:val="20"/>
          <w:rFonts w:ascii="Calibri" w:cs="Calibri" w:eastAsia="Calibri" w:hAnsi="Calibri"/>
        </w:rPr>
        <w:t xml:space="preserve">Parallel,</w:t>
      </w:r>
      <w:r>
        <w:rPr>
          <w:color w:val="1B2335"/>
          <w:sz w:val="20"/>
          <w:szCs w:val="20"/>
          <w:rFonts w:ascii="Calibri" w:cs="Calibri" w:eastAsia="Calibri" w:hAnsi="Calibri"/>
        </w:rPr>
        <w:t xml:space="preserve"> for cited answers to questions such as "who owns this company?".</w:t>
      </w:r>
    </w:p>
    <w:p>
      <w:pPr>
        <w:pStyle w:val="ListParagraph"/>
        <w:numPr>
          <w:ilvl w:val="0"/>
          <w:numId w:val="3"/>
        </w:numPr>
        <w:spacing w:after="40" w:line="252"/>
      </w:pPr>
      <w:r>
        <w:rPr>
          <w:b/>
          <w:bCs/>
          <w:color w:val="0A1222"/>
          <w:sz w:val="20"/>
          <w:szCs w:val="20"/>
          <w:rFonts w:ascii="Calibri" w:cs="Calibri" w:eastAsia="Calibri" w:hAnsi="Calibri"/>
        </w:rPr>
        <w:t xml:space="preserve">Clay,</w:t>
      </w:r>
      <w:r>
        <w:rPr>
          <w:color w:val="1B2335"/>
          <w:sz w:val="20"/>
          <w:szCs w:val="20"/>
          <w:rFonts w:ascii="Calibri" w:cs="Calibri" w:eastAsia="Calibri" w:hAnsi="Calibri"/>
        </w:rPr>
        <w:t xml:space="preserve"> for headcount and revenue from many data providers.</w:t>
      </w:r>
    </w:p>
    <w:p>
      <w:pPr>
        <w:spacing w:before="0" w:after="100" w:line="264"/>
      </w:pPr>
      <w:r>
        <w:rPr>
          <w:color w:val="1B2335"/>
          <w:sz w:val="20"/>
          <w:szCs w:val="20"/>
          <w:rFonts w:ascii="Calibri" w:cs="Calibri" w:eastAsia="Calibri" w:hAnsi="Calibri"/>
        </w:rPr>
        <w:t xml:space="preserve">Only the company name and web domain would be sent, never the enquiry or personal details. Results would be labelled as external, and they could send an enquiry for review but never route it on their own.</w:t>
      </w:r>
    </w:p>
    <w:p>
      <w:pPr>
        <w:pStyle w:val="Heading1"/>
      </w:pPr>
      <w:r>
        <w:rPr>
          <w:color w:val="0891B2"/>
          <w:rFonts w:ascii="Calibri" w:cs="Calibri" w:eastAsia="Calibri" w:hAnsi="Calibri"/>
        </w:rPr>
        <w:t xml:space="preserve">3  </w:t>
      </w:r>
      <w:r>
        <w:rPr>
          <w:rFonts w:ascii="Calibri" w:cs="Calibri" w:eastAsia="Calibri" w:hAnsi="Calibri"/>
        </w:rPr>
        <w:t xml:space="preserve">What breaks first, how we'd know, and the fallback</w:t>
      </w:r>
    </w:p>
    <w:p>
      <w:pPr>
        <w:spacing w:before="0" w:after="100" w:line="264"/>
      </w:pPr>
      <w:r>
        <w:rPr>
          <w:b/>
          <w:bCs/>
          <w:color w:val="0A1222"/>
          <w:sz w:val="20"/>
          <w:szCs w:val="20"/>
          <w:rFonts w:ascii="Calibri" w:cs="Calibri" w:eastAsia="Calibri" w:hAnsi="Calibri"/>
        </w:rPr>
        <w:t xml:space="preserve">What breaks first: a confident wrong answer.</w:t>
      </w:r>
      <w:r>
        <w:rPr>
          <w:color w:val="1B2335"/>
          <w:sz w:val="20"/>
          <w:szCs w:val="20"/>
          <w:rFonts w:ascii="Calibri" w:cs="Calibri" w:eastAsia="Calibri" w:hAnsi="Calibri"/>
        </w:rPr>
        <w:t xml:space="preserve"> When an enquiry doesn't fit the firm's categories neatly, the model files it under the nearest service line, all three runs agree, and nothing sends it for review. On the test set the runs never disagreed once. New kinds of work, such as a new practice area, are the sharpest risk because they get forced into an existing line without warning. The second weakness is complexity, which is overstated, mostly because any mention of a board is read as board-level work. This rarely changes routing, but it misleads team leads about effort.</w:t>
      </w:r>
    </w:p>
    <w:p>
      <w:pPr>
        <w:spacing w:before="0" w:after="80" w:line="264"/>
      </w:pPr>
      <w:r>
        <w:rPr>
          <w:color w:val="1B2335"/>
          <w:sz w:val="20"/>
          <w:szCs w:val="20"/>
          <w:rFonts w:ascii="Calibri" w:cs="Calibri" w:eastAsia="Calibri" w:hAnsi="Calibri"/>
        </w:rPr>
        <w:t xml:space="preserve">Not every mistake costs the same. A missed conflict of interest, or acting on instructions hidden in an enquiry, must never happen quietly, so both are blocked by fixed rules whatever the model says. A wrong service line is costly but recoverable, and monitoring is built to catch it quickly. A complexity rating one level out costs a person a minute. The system leans towards sending more to review rather than less.</w:t>
      </w:r>
    </w:p>
    <w:p>
      <w:pPr>
        <w:pStyle w:val="Heading2"/>
      </w:pPr>
      <w:r>
        <w:rPr>
          <w:rFonts w:ascii="Calibri" w:cs="Calibri" w:eastAsia="Calibri" w:hAnsi="Calibri"/>
        </w:rPr>
        <w:t xml:space="preserve">What I'd monitor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576"/>
        <w:gridCol w:w="2784"/>
        <w:gridCol w:w="2386"/>
      </w:tblGrid>
      <w:tr>
        <w:trPr>
          <w:tblHeader/>
        </w:trPr>
        <w:tc>
          <w:tcPr>
            <w:tcW w:type="dxa" w:w="4576"/>
            <w:tcBorders>
              <w:top w:val="single" w:color="D5DBE5" w:sz="4"/>
              <w:left w:val="single" w:color="D5DBE5" w:sz="4"/>
              <w:bottom w:val="single" w:color="D5DBE5" w:sz="4"/>
              <w:right w:val="single" w:color="D5DBE5" w:sz="4"/>
            </w:tcBorders>
            <w:shd w:fill="E8F7FA" w:color="auto" w:val="clear"/>
            <w:tcMar>
              <w:top w:type="dxa" w:w="50"/>
              <w:left w:type="dxa" w:w="90"/>
              <w:bottom w:type="dxa" w:w="50"/>
              <w:right w:type="dxa" w:w="90"/>
            </w:tcMar>
            <w:vAlign w:val="top"/>
          </w:tcPr>
          <w:p>
            <w:pPr>
              <w:spacing w:after="0" w:line="240"/>
            </w:pPr>
            <w:r>
              <w:rPr>
                <w:b/>
                <w:bCs/>
                <w:color w:val="0A1222"/>
                <w:sz w:val="17"/>
                <w:szCs w:val="17"/>
                <w:rFonts w:ascii="Calibri" w:cs="Calibri" w:eastAsia="Calibri" w:hAnsi="Calibri"/>
              </w:rPr>
              <w:t xml:space="preserve">Signal</w:t>
            </w:r>
          </w:p>
        </w:tc>
        <w:tc>
          <w:tcPr>
            <w:tcW w:type="dxa" w:w="2784"/>
            <w:tcBorders>
              <w:top w:val="single" w:color="D5DBE5" w:sz="4"/>
              <w:left w:val="single" w:color="D5DBE5" w:sz="4"/>
              <w:bottom w:val="single" w:color="D5DBE5" w:sz="4"/>
              <w:right w:val="single" w:color="D5DBE5" w:sz="4"/>
            </w:tcBorders>
            <w:shd w:fill="E8F7FA" w:color="auto" w:val="clear"/>
            <w:tcMar>
              <w:top w:type="dxa" w:w="50"/>
              <w:left w:type="dxa" w:w="90"/>
              <w:bottom w:type="dxa" w:w="50"/>
              <w:right w:type="dxa" w:w="90"/>
            </w:tcMar>
            <w:vAlign w:val="top"/>
          </w:tcPr>
          <w:p>
            <w:pPr>
              <w:spacing w:after="0" w:line="240"/>
            </w:pPr>
            <w:r>
              <w:rPr>
                <w:b/>
                <w:bCs/>
                <w:color w:val="0A1222"/>
                <w:sz w:val="17"/>
                <w:szCs w:val="17"/>
                <w:rFonts w:ascii="Calibri" w:cs="Calibri" w:eastAsia="Calibri" w:hAnsi="Calibri"/>
              </w:rPr>
              <w:t xml:space="preserve">Alert when</w:t>
            </w:r>
          </w:p>
        </w:tc>
        <w:tc>
          <w:tcPr>
            <w:tcW w:type="dxa" w:w="2386"/>
            <w:tcBorders>
              <w:top w:val="single" w:color="D5DBE5" w:sz="4"/>
              <w:left w:val="single" w:color="D5DBE5" w:sz="4"/>
              <w:bottom w:val="single" w:color="D5DBE5" w:sz="4"/>
              <w:right w:val="single" w:color="D5DBE5" w:sz="4"/>
            </w:tcBorders>
            <w:shd w:fill="E8F7FA" w:color="auto" w:val="clear"/>
            <w:tcMar>
              <w:top w:type="dxa" w:w="50"/>
              <w:left w:type="dxa" w:w="90"/>
              <w:bottom w:type="dxa" w:w="50"/>
              <w:right w:type="dxa" w:w="90"/>
            </w:tcMar>
            <w:vAlign w:val="top"/>
          </w:tcPr>
          <w:p>
            <w:pPr>
              <w:spacing w:after="0" w:line="240"/>
            </w:pPr>
            <w:r>
              <w:rPr>
                <w:b/>
                <w:bCs/>
                <w:color w:val="0A1222"/>
                <w:sz w:val="17"/>
                <w:szCs w:val="17"/>
                <w:rFonts w:ascii="Calibri" w:cs="Calibri" w:eastAsia="Calibri" w:hAnsi="Calibri"/>
              </w:rPr>
              <w:t xml:space="preserve">Owner</w:t>
            </w:r>
          </w:p>
        </w:tc>
      </w:tr>
      <w:tr>
        <w:trPr>
          <w:cantSplit/>
        </w:trPr>
        <w:tc>
          <w:tcPr>
            <w:tcW w:type="dxa" w:w="4576"/>
            <w:tcBorders>
              <w:top w:val="single" w:color="D5DBE5" w:sz="4"/>
              <w:left w:val="single" w:color="D5DBE5" w:sz="4"/>
              <w:bottom w:val="single" w:color="D5DBE5" w:sz="4"/>
              <w:right w:val="single" w:color="D5DBE5" w:sz="4"/>
            </w:tcBorders>
            <w:shd w:fill="FFFFFF" w:color="auto" w:val="clear"/>
            <w:tcMar>
              <w:top w:type="dxa" w:w="50"/>
              <w:left w:type="dxa" w:w="90"/>
              <w:bottom w:type="dxa" w:w="50"/>
              <w:right w:type="dxa" w:w="90"/>
            </w:tcMar>
            <w:vAlign w:val="top"/>
          </w:tcPr>
          <w:p>
            <w:pPr>
              <w:spacing w:after="0" w:line="240"/>
            </w:pPr>
            <w:r>
              <w:rPr>
                <w:color w:val="1B2335"/>
                <w:sz w:val="17"/>
                <w:szCs w:val="17"/>
                <w:rFonts w:ascii="Calibri" w:cs="Calibri" w:eastAsia="Calibri" w:hAnsi="Calibri"/>
              </w:rPr>
              <w:t xml:space="preserve">Model errors per service line (reassigned because the line was wrong, or corrected; workload moves are recorded separately)</w:t>
            </w:r>
          </w:p>
        </w:tc>
        <w:tc>
          <w:tcPr>
            <w:tcW w:type="dxa" w:w="2784"/>
            <w:tcBorders>
              <w:top w:val="single" w:color="D5DBE5" w:sz="4"/>
              <w:left w:val="single" w:color="D5DBE5" w:sz="4"/>
              <w:bottom w:val="single" w:color="D5DBE5" w:sz="4"/>
              <w:right w:val="single" w:color="D5DBE5" w:sz="4"/>
            </w:tcBorders>
            <w:shd w:fill="FFFFFF" w:color="auto" w:val="clear"/>
            <w:tcMar>
              <w:top w:type="dxa" w:w="50"/>
              <w:left w:type="dxa" w:w="90"/>
              <w:bottom w:type="dxa" w:w="50"/>
              <w:right w:type="dxa" w:w="90"/>
            </w:tcMar>
            <w:vAlign w:val="top"/>
          </w:tcPr>
          <w:p>
            <w:pPr>
              <w:spacing w:after="0" w:line="240"/>
            </w:pPr>
            <w:r>
              <w:rPr>
                <w:color w:val="1B2335"/>
                <w:sz w:val="17"/>
                <w:szCs w:val="17"/>
                <w:rFonts w:ascii="Calibri" w:cs="Calibri" w:eastAsia="Calibri" w:hAnsi="Calibri"/>
              </w:rPr>
              <w:t xml:space="preserve">Above 10% for any line over two weeks</w:t>
            </w:r>
          </w:p>
        </w:tc>
        <w:tc>
          <w:tcPr>
            <w:tcW w:type="dxa" w:w="2386"/>
            <w:tcBorders>
              <w:top w:val="single" w:color="D5DBE5" w:sz="4"/>
              <w:left w:val="single" w:color="D5DBE5" w:sz="4"/>
              <w:bottom w:val="single" w:color="D5DBE5" w:sz="4"/>
              <w:right w:val="single" w:color="D5DBE5" w:sz="4"/>
            </w:tcBorders>
            <w:shd w:fill="FFFFFF" w:color="auto" w:val="clear"/>
            <w:tcMar>
              <w:top w:type="dxa" w:w="50"/>
              <w:left w:type="dxa" w:w="90"/>
              <w:bottom w:type="dxa" w:w="50"/>
              <w:right w:type="dxa" w:w="90"/>
            </w:tcMar>
            <w:vAlign w:val="top"/>
          </w:tcPr>
          <w:p>
            <w:pPr>
              <w:spacing w:after="0" w:line="240"/>
            </w:pPr>
            <w:r>
              <w:rPr>
                <w:color w:val="1B2335"/>
                <w:sz w:val="17"/>
                <w:szCs w:val="17"/>
                <w:rFonts w:ascii="Calibri" w:cs="Calibri" w:eastAsia="Calibri" w:hAnsi="Calibri"/>
              </w:rPr>
              <w:t xml:space="preserve">Practice operations, weekly</w:t>
            </w:r>
          </w:p>
        </w:tc>
      </w:tr>
      <w:tr>
        <w:trPr>
          <w:cantSplit/>
        </w:trPr>
        <w:tc>
          <w:tcPr>
            <w:tcW w:type="dxa" w:w="4576"/>
            <w:tcBorders>
              <w:top w:val="single" w:color="D5DBE5" w:sz="4"/>
              <w:left w:val="single" w:color="D5DBE5" w:sz="4"/>
              <w:bottom w:val="single" w:color="D5DBE5" w:sz="4"/>
              <w:right w:val="single" w:color="D5DBE5" w:sz="4"/>
            </w:tcBorders>
            <w:shd w:fill="F7F9FC" w:color="auto" w:val="clear"/>
            <w:tcMar>
              <w:top w:type="dxa" w:w="50"/>
              <w:left w:type="dxa" w:w="90"/>
              <w:bottom w:type="dxa" w:w="50"/>
              <w:right w:type="dxa" w:w="90"/>
            </w:tcMar>
            <w:vAlign w:val="top"/>
          </w:tcPr>
          <w:p>
            <w:pPr>
              <w:spacing w:after="0" w:line="240"/>
            </w:pPr>
            <w:r>
              <w:rPr>
                <w:color w:val="1B2335"/>
                <w:sz w:val="17"/>
                <w:szCs w:val="17"/>
                <w:rFonts w:ascii="Calibri" w:cs="Calibri" w:eastAsia="Calibri" w:hAnsi="Calibri"/>
              </w:rPr>
              <w:t xml:space="preserve">Accuracy of automatic routes, from a 10% weekly spot-check</w:t>
            </w:r>
          </w:p>
        </w:tc>
        <w:tc>
          <w:tcPr>
            <w:tcW w:type="dxa" w:w="2784"/>
            <w:tcBorders>
              <w:top w:val="single" w:color="D5DBE5" w:sz="4"/>
              <w:left w:val="single" w:color="D5DBE5" w:sz="4"/>
              <w:bottom w:val="single" w:color="D5DBE5" w:sz="4"/>
              <w:right w:val="single" w:color="D5DBE5" w:sz="4"/>
            </w:tcBorders>
            <w:shd w:fill="F7F9FC" w:color="auto" w:val="clear"/>
            <w:tcMar>
              <w:top w:type="dxa" w:w="50"/>
              <w:left w:type="dxa" w:w="90"/>
              <w:bottom w:type="dxa" w:w="50"/>
              <w:right w:type="dxa" w:w="90"/>
            </w:tcMar>
            <w:vAlign w:val="top"/>
          </w:tcPr>
          <w:p>
            <w:pPr>
              <w:spacing w:after="0" w:line="240"/>
            </w:pPr>
            <w:r>
              <w:rPr>
                <w:color w:val="1B2335"/>
                <w:sz w:val="17"/>
                <w:szCs w:val="17"/>
                <w:rFonts w:ascii="Calibri" w:cs="Calibri" w:eastAsia="Calibri" w:hAnsi="Calibri"/>
              </w:rPr>
              <w:t xml:space="preserve">Below 95%</w:t>
            </w:r>
          </w:p>
        </w:tc>
        <w:tc>
          <w:tcPr>
            <w:tcW w:type="dxa" w:w="2386"/>
            <w:tcBorders>
              <w:top w:val="single" w:color="D5DBE5" w:sz="4"/>
              <w:left w:val="single" w:color="D5DBE5" w:sz="4"/>
              <w:bottom w:val="single" w:color="D5DBE5" w:sz="4"/>
              <w:right w:val="single" w:color="D5DBE5" w:sz="4"/>
            </w:tcBorders>
            <w:shd w:fill="F7F9FC" w:color="auto" w:val="clear"/>
            <w:tcMar>
              <w:top w:type="dxa" w:w="50"/>
              <w:left w:type="dxa" w:w="90"/>
              <w:bottom w:type="dxa" w:w="50"/>
              <w:right w:type="dxa" w:w="90"/>
            </w:tcMar>
            <w:vAlign w:val="top"/>
          </w:tcPr>
          <w:p>
            <w:pPr>
              <w:spacing w:after="0" w:line="240"/>
            </w:pPr>
            <w:r>
              <w:rPr>
                <w:color w:val="1B2335"/>
                <w:sz w:val="17"/>
                <w:szCs w:val="17"/>
                <w:rFonts w:ascii="Calibri" w:cs="Calibri" w:eastAsia="Calibri" w:hAnsi="Calibri"/>
              </w:rPr>
              <w:t xml:space="preserve">Analyst, weekly</w:t>
            </w:r>
          </w:p>
        </w:tc>
      </w:tr>
      <w:tr>
        <w:trPr>
          <w:cantSplit/>
        </w:trPr>
        <w:tc>
          <w:tcPr>
            <w:tcW w:type="dxa" w:w="4576"/>
            <w:tcBorders>
              <w:top w:val="single" w:color="D5DBE5" w:sz="4"/>
              <w:left w:val="single" w:color="D5DBE5" w:sz="4"/>
              <w:bottom w:val="single" w:color="D5DBE5" w:sz="4"/>
              <w:right w:val="single" w:color="D5DBE5" w:sz="4"/>
            </w:tcBorders>
            <w:shd w:fill="FFFFFF" w:color="auto" w:val="clear"/>
            <w:tcMar>
              <w:top w:type="dxa" w:w="50"/>
              <w:left w:type="dxa" w:w="90"/>
              <w:bottom w:type="dxa" w:w="50"/>
              <w:right w:type="dxa" w:w="90"/>
            </w:tcMar>
            <w:vAlign w:val="top"/>
          </w:tcPr>
          <w:p>
            <w:pPr>
              <w:spacing w:after="0" w:line="240"/>
            </w:pPr>
            <w:r>
              <w:rPr>
                <w:color w:val="1B2335"/>
                <w:sz w:val="17"/>
                <w:szCs w:val="17"/>
                <w:rFonts w:ascii="Calibri" w:cs="Calibri" w:eastAsia="Calibri" w:hAnsi="Calibri"/>
              </w:rPr>
              <w:t xml:space="preserve">Share sent to review, and the reasons</w:t>
            </w:r>
          </w:p>
        </w:tc>
        <w:tc>
          <w:tcPr>
            <w:tcW w:type="dxa" w:w="2784"/>
            <w:tcBorders>
              <w:top w:val="single" w:color="D5DBE5" w:sz="4"/>
              <w:left w:val="single" w:color="D5DBE5" w:sz="4"/>
              <w:bottom w:val="single" w:color="D5DBE5" w:sz="4"/>
              <w:right w:val="single" w:color="D5DBE5" w:sz="4"/>
            </w:tcBorders>
            <w:shd w:fill="FFFFFF" w:color="auto" w:val="clear"/>
            <w:tcMar>
              <w:top w:type="dxa" w:w="50"/>
              <w:left w:type="dxa" w:w="90"/>
              <w:bottom w:type="dxa" w:w="50"/>
              <w:right w:type="dxa" w:w="90"/>
            </w:tcMar>
            <w:vAlign w:val="top"/>
          </w:tcPr>
          <w:p>
            <w:pPr>
              <w:spacing w:after="0" w:line="240"/>
            </w:pPr>
            <w:r>
              <w:rPr>
                <w:color w:val="1B2335"/>
                <w:sz w:val="17"/>
                <w:szCs w:val="17"/>
                <w:rFonts w:ascii="Calibri" w:cs="Calibri" w:eastAsia="Calibri" w:hAnsi="Calibri"/>
              </w:rPr>
              <w:t xml:space="preserve">Outside 10% to 30%</w:t>
            </w:r>
          </w:p>
        </w:tc>
        <w:tc>
          <w:tcPr>
            <w:tcW w:type="dxa" w:w="2386"/>
            <w:tcBorders>
              <w:top w:val="single" w:color="D5DBE5" w:sz="4"/>
              <w:left w:val="single" w:color="D5DBE5" w:sz="4"/>
              <w:bottom w:val="single" w:color="D5DBE5" w:sz="4"/>
              <w:right w:val="single" w:color="D5DBE5" w:sz="4"/>
            </w:tcBorders>
            <w:shd w:fill="FFFFFF" w:color="auto" w:val="clear"/>
            <w:tcMar>
              <w:top w:type="dxa" w:w="50"/>
              <w:left w:type="dxa" w:w="90"/>
              <w:bottom w:type="dxa" w:w="50"/>
              <w:right w:type="dxa" w:w="90"/>
            </w:tcMar>
            <w:vAlign w:val="top"/>
          </w:tcPr>
          <w:p>
            <w:pPr>
              <w:spacing w:after="0" w:line="240"/>
            </w:pPr>
            <w:r>
              <w:rPr>
                <w:color w:val="1B2335"/>
                <w:sz w:val="17"/>
                <w:szCs w:val="17"/>
                <w:rFonts w:ascii="Calibri" w:cs="Calibri" w:eastAsia="Calibri" w:hAnsi="Calibri"/>
              </w:rPr>
              <w:t xml:space="preserve">Practice operations, weekly</w:t>
            </w:r>
          </w:p>
        </w:tc>
      </w:tr>
      <w:tr>
        <w:trPr>
          <w:cantSplit/>
        </w:trPr>
        <w:tc>
          <w:tcPr>
            <w:tcW w:type="dxa" w:w="4576"/>
            <w:tcBorders>
              <w:top w:val="single" w:color="D5DBE5" w:sz="4"/>
              <w:left w:val="single" w:color="D5DBE5" w:sz="4"/>
              <w:bottom w:val="single" w:color="D5DBE5" w:sz="4"/>
              <w:right w:val="single" w:color="D5DBE5" w:sz="4"/>
            </w:tcBorders>
            <w:shd w:fill="F7F9FC" w:color="auto" w:val="clear"/>
            <w:tcMar>
              <w:top w:type="dxa" w:w="50"/>
              <w:left w:type="dxa" w:w="90"/>
              <w:bottom w:type="dxa" w:w="50"/>
              <w:right w:type="dxa" w:w="90"/>
            </w:tcMar>
            <w:vAlign w:val="top"/>
          </w:tcPr>
          <w:p>
            <w:pPr>
              <w:spacing w:after="0" w:line="240"/>
            </w:pPr>
            <w:r>
              <w:rPr>
                <w:color w:val="1B2335"/>
                <w:sz w:val="17"/>
                <w:szCs w:val="17"/>
                <w:rFonts w:ascii="Calibri" w:cs="Calibri" w:eastAsia="Calibri" w:hAnsi="Calibri"/>
              </w:rPr>
              <w:t xml:space="preserve">Age of items in the review queue</w:t>
            </w:r>
          </w:p>
        </w:tc>
        <w:tc>
          <w:tcPr>
            <w:tcW w:type="dxa" w:w="2784"/>
            <w:tcBorders>
              <w:top w:val="single" w:color="D5DBE5" w:sz="4"/>
              <w:left w:val="single" w:color="D5DBE5" w:sz="4"/>
              <w:bottom w:val="single" w:color="D5DBE5" w:sz="4"/>
              <w:right w:val="single" w:color="D5DBE5" w:sz="4"/>
            </w:tcBorders>
            <w:shd w:fill="F7F9FC" w:color="auto" w:val="clear"/>
            <w:tcMar>
              <w:top w:type="dxa" w:w="50"/>
              <w:left w:type="dxa" w:w="90"/>
              <w:bottom w:type="dxa" w:w="50"/>
              <w:right w:type="dxa" w:w="90"/>
            </w:tcMar>
            <w:vAlign w:val="top"/>
          </w:tcPr>
          <w:p>
            <w:pPr>
              <w:spacing w:after="0" w:line="240"/>
            </w:pPr>
            <w:r>
              <w:rPr>
                <w:color w:val="1B2335"/>
                <w:sz w:val="17"/>
                <w:szCs w:val="17"/>
                <w:rFonts w:ascii="Calibri" w:cs="Calibri" w:eastAsia="Calibri" w:hAnsi="Calibri"/>
              </w:rPr>
              <w:t xml:space="preserve">Older than one working day</w:t>
            </w:r>
          </w:p>
        </w:tc>
        <w:tc>
          <w:tcPr>
            <w:tcW w:type="dxa" w:w="2386"/>
            <w:tcBorders>
              <w:top w:val="single" w:color="D5DBE5" w:sz="4"/>
              <w:left w:val="single" w:color="D5DBE5" w:sz="4"/>
              <w:bottom w:val="single" w:color="D5DBE5" w:sz="4"/>
              <w:right w:val="single" w:color="D5DBE5" w:sz="4"/>
            </w:tcBorders>
            <w:shd w:fill="F7F9FC" w:color="auto" w:val="clear"/>
            <w:tcMar>
              <w:top w:type="dxa" w:w="50"/>
              <w:left w:type="dxa" w:w="90"/>
              <w:bottom w:type="dxa" w:w="50"/>
              <w:right w:type="dxa" w:w="90"/>
            </w:tcMar>
            <w:vAlign w:val="top"/>
          </w:tcPr>
          <w:p>
            <w:pPr>
              <w:spacing w:after="0" w:line="240"/>
            </w:pPr>
            <w:r>
              <w:rPr>
                <w:color w:val="1B2335"/>
                <w:sz w:val="17"/>
                <w:szCs w:val="17"/>
                <w:rFonts w:ascii="Calibri" w:cs="Calibri" w:eastAsia="Calibri" w:hAnsi="Calibri"/>
              </w:rPr>
              <w:t xml:space="preserve">Analyst, daily</w:t>
            </w:r>
          </w:p>
        </w:tc>
      </w:tr>
      <w:tr>
        <w:trPr>
          <w:cantSplit/>
        </w:trPr>
        <w:tc>
          <w:tcPr>
            <w:tcW w:type="dxa" w:w="4576"/>
            <w:tcBorders>
              <w:top w:val="single" w:color="D5DBE5" w:sz="4"/>
              <w:left w:val="single" w:color="D5DBE5" w:sz="4"/>
              <w:bottom w:val="single" w:color="D5DBE5" w:sz="4"/>
              <w:right w:val="single" w:color="D5DBE5" w:sz="4"/>
            </w:tcBorders>
            <w:shd w:fill="FFFFFF" w:color="auto" w:val="clear"/>
            <w:tcMar>
              <w:top w:type="dxa" w:w="50"/>
              <w:left w:type="dxa" w:w="90"/>
              <w:bottom w:type="dxa" w:w="50"/>
              <w:right w:type="dxa" w:w="90"/>
            </w:tcMar>
            <w:vAlign w:val="top"/>
          </w:tcPr>
          <w:p>
            <w:pPr>
              <w:spacing w:after="0" w:line="240"/>
            </w:pPr>
            <w:r>
              <w:rPr>
                <w:color w:val="1B2335"/>
                <w:sz w:val="17"/>
                <w:szCs w:val="17"/>
                <w:rFonts w:ascii="Calibri" w:cs="Calibri" w:eastAsia="Calibri" w:hAnsi="Calibri"/>
              </w:rPr>
              <w:t xml:space="preserve">Out-of-scope and vague enquiries; service-line mix</w:t>
            </w:r>
          </w:p>
        </w:tc>
        <w:tc>
          <w:tcPr>
            <w:tcW w:type="dxa" w:w="2784"/>
            <w:tcBorders>
              <w:top w:val="single" w:color="D5DBE5" w:sz="4"/>
              <w:left w:val="single" w:color="D5DBE5" w:sz="4"/>
              <w:bottom w:val="single" w:color="D5DBE5" w:sz="4"/>
              <w:right w:val="single" w:color="D5DBE5" w:sz="4"/>
            </w:tcBorders>
            <w:shd w:fill="FFFFFF" w:color="auto" w:val="clear"/>
            <w:tcMar>
              <w:top w:type="dxa" w:w="50"/>
              <w:left w:type="dxa" w:w="90"/>
              <w:bottom w:type="dxa" w:w="50"/>
              <w:right w:type="dxa" w:w="90"/>
            </w:tcMar>
            <w:vAlign w:val="top"/>
          </w:tcPr>
          <w:p>
            <w:pPr>
              <w:spacing w:after="0" w:line="240"/>
            </w:pPr>
            <w:r>
              <w:rPr>
                <w:color w:val="1B2335"/>
                <w:sz w:val="17"/>
                <w:szCs w:val="17"/>
                <w:rFonts w:ascii="Calibri" w:cs="Calibri" w:eastAsia="Calibri" w:hAnsi="Calibri"/>
              </w:rPr>
              <w:t xml:space="preserve">Double, or half, the usual level</w:t>
            </w:r>
          </w:p>
        </w:tc>
        <w:tc>
          <w:tcPr>
            <w:tcW w:type="dxa" w:w="2386"/>
            <w:tcBorders>
              <w:top w:val="single" w:color="D5DBE5" w:sz="4"/>
              <w:left w:val="single" w:color="D5DBE5" w:sz="4"/>
              <w:bottom w:val="single" w:color="D5DBE5" w:sz="4"/>
              <w:right w:val="single" w:color="D5DBE5" w:sz="4"/>
            </w:tcBorders>
            <w:shd w:fill="FFFFFF" w:color="auto" w:val="clear"/>
            <w:tcMar>
              <w:top w:type="dxa" w:w="50"/>
              <w:left w:type="dxa" w:w="90"/>
              <w:bottom w:type="dxa" w:w="50"/>
              <w:right w:type="dxa" w:w="90"/>
            </w:tcMar>
            <w:vAlign w:val="top"/>
          </w:tcPr>
          <w:p>
            <w:pPr>
              <w:spacing w:after="0" w:line="240"/>
            </w:pPr>
            <w:r>
              <w:rPr>
                <w:color w:val="1B2335"/>
                <w:sz w:val="17"/>
                <w:szCs w:val="17"/>
                <w:rFonts w:ascii="Calibri" w:cs="Calibri" w:eastAsia="Calibri" w:hAnsi="Calibri"/>
              </w:rPr>
              <w:t xml:space="preserve">Practice operations, monthly</w:t>
            </w:r>
          </w:p>
        </w:tc>
      </w:tr>
      <w:tr>
        <w:trPr>
          <w:cantSplit/>
        </w:trPr>
        <w:tc>
          <w:tcPr>
            <w:tcW w:type="dxa" w:w="4576"/>
            <w:tcBorders>
              <w:top w:val="single" w:color="D5DBE5" w:sz="4"/>
              <w:left w:val="single" w:color="D5DBE5" w:sz="4"/>
              <w:bottom w:val="single" w:color="D5DBE5" w:sz="4"/>
              <w:right w:val="single" w:color="D5DBE5" w:sz="4"/>
            </w:tcBorders>
            <w:shd w:fill="F7F9FC" w:color="auto" w:val="clear"/>
            <w:tcMar>
              <w:top w:type="dxa" w:w="50"/>
              <w:left w:type="dxa" w:w="90"/>
              <w:bottom w:type="dxa" w:w="50"/>
              <w:right w:type="dxa" w:w="90"/>
            </w:tcMar>
            <w:vAlign w:val="top"/>
          </w:tcPr>
          <w:p>
            <w:pPr>
              <w:spacing w:after="0" w:line="240"/>
            </w:pPr>
            <w:r>
              <w:rPr>
                <w:color w:val="1B2335"/>
                <w:sz w:val="17"/>
                <w:szCs w:val="17"/>
                <w:rFonts w:ascii="Calibri" w:cs="Calibri" w:eastAsia="Calibri" w:hAnsi="Calibri"/>
              </w:rPr>
              <w:t xml:space="preserve">Failures, response time, cost; test-suite results</w:t>
            </w:r>
          </w:p>
        </w:tc>
        <w:tc>
          <w:tcPr>
            <w:tcW w:type="dxa" w:w="2784"/>
            <w:tcBorders>
              <w:top w:val="single" w:color="D5DBE5" w:sz="4"/>
              <w:left w:val="single" w:color="D5DBE5" w:sz="4"/>
              <w:bottom w:val="single" w:color="D5DBE5" w:sz="4"/>
              <w:right w:val="single" w:color="D5DBE5" w:sz="4"/>
            </w:tcBorders>
            <w:shd w:fill="F7F9FC" w:color="auto" w:val="clear"/>
            <w:tcMar>
              <w:top w:type="dxa" w:w="50"/>
              <w:left w:type="dxa" w:w="90"/>
              <w:bottom w:type="dxa" w:w="50"/>
              <w:right w:type="dxa" w:w="90"/>
            </w:tcMar>
            <w:vAlign w:val="top"/>
          </w:tcPr>
          <w:p>
            <w:pPr>
              <w:spacing w:after="0" w:line="240"/>
            </w:pPr>
            <w:r>
              <w:rPr>
                <w:color w:val="1B2335"/>
                <w:sz w:val="17"/>
                <w:szCs w:val="17"/>
                <w:rFonts w:ascii="Calibri" w:cs="Calibri" w:eastAsia="Calibri" w:hAnsi="Calibri"/>
              </w:rPr>
              <w:t xml:space="preserve">Failures above 2% a day, or any safety case missed</w:t>
            </w:r>
          </w:p>
        </w:tc>
        <w:tc>
          <w:tcPr>
            <w:tcW w:type="dxa" w:w="2386"/>
            <w:tcBorders>
              <w:top w:val="single" w:color="D5DBE5" w:sz="4"/>
              <w:left w:val="single" w:color="D5DBE5" w:sz="4"/>
              <w:bottom w:val="single" w:color="D5DBE5" w:sz="4"/>
              <w:right w:val="single" w:color="D5DBE5" w:sz="4"/>
            </w:tcBorders>
            <w:shd w:fill="F7F9FC" w:color="auto" w:val="clear"/>
            <w:tcMar>
              <w:top w:type="dxa" w:w="50"/>
              <w:left w:type="dxa" w:w="90"/>
              <w:bottom w:type="dxa" w:w="50"/>
              <w:right w:type="dxa" w:w="90"/>
            </w:tcMar>
            <w:vAlign w:val="top"/>
          </w:tcPr>
          <w:p>
            <w:pPr>
              <w:spacing w:after="0" w:line="240"/>
            </w:pPr>
            <w:r>
              <w:rPr>
                <w:color w:val="1B2335"/>
                <w:sz w:val="17"/>
                <w:szCs w:val="17"/>
                <w:rFonts w:ascii="Calibri" w:cs="Calibri" w:eastAsia="Calibri" w:hAnsi="Calibri"/>
              </w:rPr>
              <w:t xml:space="preserve">Engineering, daily and on every change</w:t>
            </w:r>
          </w:p>
        </w:tc>
      </w:tr>
    </w:tbl>
    <w:p>
      <w:pPr>
        <w:spacing w:after="60"/>
      </w:pPr>
    </w:p>
    <w:p>
      <w:pPr>
        <w:pStyle w:val="Heading2"/>
      </w:pPr>
      <w:r>
        <w:rPr>
          <w:rFonts w:ascii="Calibri" w:cs="Calibri" w:eastAsia="Calibri" w:hAnsi="Calibri"/>
        </w:rPr>
        <w:t xml:space="preserve">When the model gets it wrong</w:t>
      </w:r>
    </w:p>
    <w:p>
      <w:pPr>
        <w:pStyle w:val="ListParagraph"/>
        <w:numPr>
          <w:ilvl w:val="0"/>
          <w:numId w:val="4"/>
        </w:numPr>
        <w:spacing w:after="40" w:line="252"/>
      </w:pPr>
      <w:r>
        <w:rPr>
          <w:b/>
          <w:bCs/>
          <w:color w:val="0A1222"/>
          <w:sz w:val="20"/>
          <w:szCs w:val="20"/>
          <w:rFonts w:ascii="Calibri" w:cs="Calibri" w:eastAsia="Calibri" w:hAnsi="Calibri"/>
        </w:rPr>
        <w:t xml:space="preserve">Before anything is sent.</w:t>
      </w:r>
      <w:r>
        <w:rPr>
          <w:color w:val="1B2335"/>
          <w:sz w:val="20"/>
          <w:szCs w:val="20"/>
          <w:rFonts w:ascii="Calibri" w:cs="Calibri" w:eastAsia="Calibri" w:hAnsi="Calibri"/>
        </w:rPr>
        <w:t xml:space="preserve"> Suspected manipulation, conflicts and failed classifications always go to a person. The model can't send anything to an unexpected destination. If the model is unavailable, the system retries, then tries a backup model, then the review queue. Nothing is lost.</w:t>
      </w:r>
    </w:p>
    <w:p>
      <w:pPr>
        <w:pStyle w:val="ListParagraph"/>
        <w:numPr>
          <w:ilvl w:val="0"/>
          <w:numId w:val="4"/>
        </w:numPr>
        <w:spacing w:after="40" w:line="252"/>
      </w:pPr>
      <w:r>
        <w:rPr>
          <w:b/>
          <w:bCs/>
          <w:color w:val="0A1222"/>
          <w:sz w:val="20"/>
          <w:szCs w:val="20"/>
          <w:rFonts w:ascii="Calibri" w:cs="Calibri" w:eastAsia="Calibri" w:hAnsi="Calibri"/>
        </w:rPr>
        <w:t xml:space="preserve">For one enquiry.</w:t>
      </w:r>
      <w:r>
        <w:rPr>
          <w:color w:val="1B2335"/>
          <w:sz w:val="20"/>
          <w:szCs w:val="20"/>
          <w:rFonts w:ascii="Calibri" w:cs="Calibri" w:eastAsia="Calibri" w:hAnsi="Calibri"/>
        </w:rPr>
        <w:t xml:space="preserve"> Leads accept or reassign with one click and give a reason. Each correction becomes new test data.</w:t>
      </w:r>
    </w:p>
    <w:p>
      <w:pPr>
        <w:pStyle w:val="ListParagraph"/>
        <w:numPr>
          <w:ilvl w:val="0"/>
          <w:numId w:val="4"/>
        </w:numPr>
        <w:spacing w:after="40" w:line="252"/>
      </w:pPr>
      <w:r>
        <w:rPr>
          <w:b/>
          <w:bCs/>
          <w:color w:val="0A1222"/>
          <w:sz w:val="20"/>
          <w:szCs w:val="20"/>
          <w:rFonts w:ascii="Calibri" w:cs="Calibri" w:eastAsia="Calibri" w:hAnsi="Calibri"/>
        </w:rPr>
        <w:t xml:space="preserve">For a recurring mistake.</w:t>
      </w:r>
      <w:r>
        <w:rPr>
          <w:color w:val="1B2335"/>
          <w:sz w:val="20"/>
          <w:szCs w:val="20"/>
          <w:rFonts w:ascii="Calibri" w:cs="Calibri" w:eastAsia="Calibri" w:hAnsi="Calibri"/>
        </w:rPr>
        <w:t xml:space="preserve"> Practice operations adjusts the definition or rule on the configuration screen. They check which past enquiries the change affects before saving, and rerun the test suite for any change to the model's instructions.</w:t>
      </w:r>
    </w:p>
    <w:p>
      <w:pPr>
        <w:pStyle w:val="ListParagraph"/>
        <w:numPr>
          <w:ilvl w:val="0"/>
          <w:numId w:val="4"/>
        </w:numPr>
        <w:spacing w:after="40" w:line="252"/>
      </w:pPr>
      <w:r>
        <w:rPr>
          <w:b/>
          <w:bCs/>
          <w:color w:val="0A1222"/>
          <w:sz w:val="20"/>
          <w:szCs w:val="20"/>
          <w:rFonts w:ascii="Calibri" w:cs="Calibri" w:eastAsia="Calibri" w:hAnsi="Calibri"/>
        </w:rPr>
        <w:t xml:space="preserve">If a line keeps slipping, or the provider is down.</w:t>
      </w:r>
      <w:r>
        <w:rPr>
          <w:color w:val="1B2335"/>
          <w:sz w:val="20"/>
          <w:szCs w:val="20"/>
          <w:rFonts w:ascii="Calibri" w:cs="Calibri" w:eastAsia="Calibri" w:hAnsi="Calibri"/>
        </w:rPr>
        <w:t xml:space="preserve"> That line returns to suggestions only, and the analyst triages it from the queue.</w:t>
      </w:r>
    </w:p>
    <w:p>
      <w:pPr>
        <w:pStyle w:val="Heading2"/>
      </w:pPr>
      <w:r>
        <w:rPr>
          <w:rFonts w:ascii="Calibri" w:cs="Calibri" w:eastAsia="Calibri" w:hAnsi="Calibri"/>
        </w:rPr>
        <w:t xml:space="preserve">Rollout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2"/>
        <w:gridCol w:w="3630"/>
        <w:gridCol w:w="4204"/>
      </w:tblGrid>
      <w:tr>
        <w:trPr>
          <w:tblHeader/>
        </w:trPr>
        <w:tc>
          <w:tcPr>
            <w:tcW w:type="dxa" w:w="1912"/>
            <w:tcBorders>
              <w:top w:val="single" w:color="D5DBE5" w:sz="4"/>
              <w:left w:val="single" w:color="D5DBE5" w:sz="4"/>
              <w:bottom w:val="single" w:color="D5DBE5" w:sz="4"/>
              <w:right w:val="single" w:color="D5DBE5" w:sz="4"/>
            </w:tcBorders>
            <w:shd w:fill="E8F7FA" w:color="auto" w:val="clear"/>
            <w:tcMar>
              <w:top w:type="dxa" w:w="50"/>
              <w:left w:type="dxa" w:w="90"/>
              <w:bottom w:type="dxa" w:w="50"/>
              <w:right w:type="dxa" w:w="90"/>
            </w:tcMar>
            <w:vAlign w:val="top"/>
          </w:tcPr>
          <w:p>
            <w:pPr>
              <w:spacing w:after="0" w:line="240"/>
            </w:pPr>
            <w:r>
              <w:rPr>
                <w:b/>
                <w:bCs/>
                <w:color w:val="0A1222"/>
                <w:sz w:val="17"/>
                <w:szCs w:val="17"/>
                <w:rFonts w:ascii="Calibri" w:cs="Calibri" w:eastAsia="Calibri" w:hAnsi="Calibri"/>
              </w:rPr>
              <w:t xml:space="preserve">Phase</w:t>
            </w:r>
          </w:p>
        </w:tc>
        <w:tc>
          <w:tcPr>
            <w:tcW w:type="dxa" w:w="3630"/>
            <w:tcBorders>
              <w:top w:val="single" w:color="D5DBE5" w:sz="4"/>
              <w:left w:val="single" w:color="D5DBE5" w:sz="4"/>
              <w:bottom w:val="single" w:color="D5DBE5" w:sz="4"/>
              <w:right w:val="single" w:color="D5DBE5" w:sz="4"/>
            </w:tcBorders>
            <w:shd w:fill="E8F7FA" w:color="auto" w:val="clear"/>
            <w:tcMar>
              <w:top w:type="dxa" w:w="50"/>
              <w:left w:type="dxa" w:w="90"/>
              <w:bottom w:type="dxa" w:w="50"/>
              <w:right w:type="dxa" w:w="90"/>
            </w:tcMar>
            <w:vAlign w:val="top"/>
          </w:tcPr>
          <w:p>
            <w:pPr>
              <w:spacing w:after="0" w:line="240"/>
            </w:pPr>
            <w:r>
              <w:rPr>
                <w:b/>
                <w:bCs/>
                <w:color w:val="0A1222"/>
                <w:sz w:val="17"/>
                <w:szCs w:val="17"/>
                <w:rFonts w:ascii="Calibri" w:cs="Calibri" w:eastAsia="Calibri" w:hAnsi="Calibri"/>
              </w:rPr>
              <w:t xml:space="preserve">What changes</w:t>
            </w:r>
          </w:p>
        </w:tc>
        <w:tc>
          <w:tcPr>
            <w:tcW w:type="dxa" w:w="4204"/>
            <w:tcBorders>
              <w:top w:val="single" w:color="D5DBE5" w:sz="4"/>
              <w:left w:val="single" w:color="D5DBE5" w:sz="4"/>
              <w:bottom w:val="single" w:color="D5DBE5" w:sz="4"/>
              <w:right w:val="single" w:color="D5DBE5" w:sz="4"/>
            </w:tcBorders>
            <w:shd w:fill="E8F7FA" w:color="auto" w:val="clear"/>
            <w:tcMar>
              <w:top w:type="dxa" w:w="50"/>
              <w:left w:type="dxa" w:w="90"/>
              <w:bottom w:type="dxa" w:w="50"/>
              <w:right w:type="dxa" w:w="90"/>
            </w:tcMar>
            <w:vAlign w:val="top"/>
          </w:tcPr>
          <w:p>
            <w:pPr>
              <w:spacing w:after="0" w:line="240"/>
            </w:pPr>
            <w:r>
              <w:rPr>
                <w:b/>
                <w:bCs/>
                <w:color w:val="0A1222"/>
                <w:sz w:val="17"/>
                <w:szCs w:val="17"/>
                <w:rFonts w:ascii="Calibri" w:cs="Calibri" w:eastAsia="Calibri" w:hAnsi="Calibri"/>
              </w:rPr>
              <w:t xml:space="preserve">Moves on when</w:t>
            </w:r>
          </w:p>
        </w:tc>
      </w:tr>
      <w:tr>
        <w:trPr>
          <w:cantSplit/>
        </w:trPr>
        <w:tc>
          <w:tcPr>
            <w:tcW w:type="dxa" w:w="1912"/>
            <w:tcBorders>
              <w:top w:val="single" w:color="D5DBE5" w:sz="4"/>
              <w:left w:val="single" w:color="D5DBE5" w:sz="4"/>
              <w:bottom w:val="single" w:color="D5DBE5" w:sz="4"/>
              <w:right w:val="single" w:color="D5DBE5" w:sz="4"/>
            </w:tcBorders>
            <w:shd w:fill="FFFFFF" w:color="auto" w:val="clear"/>
            <w:tcMar>
              <w:top w:type="dxa" w:w="50"/>
              <w:left w:type="dxa" w:w="90"/>
              <w:bottom w:type="dxa" w:w="50"/>
              <w:right w:type="dxa" w:w="90"/>
            </w:tcMar>
            <w:vAlign w:val="top"/>
          </w:tcPr>
          <w:p>
            <w:pPr>
              <w:spacing w:after="0" w:line="240"/>
            </w:pPr>
            <w:r>
              <w:rPr>
                <w:b/>
                <w:bCs/>
                <w:color w:val="0A1222"/>
                <w:sz w:val="17"/>
                <w:szCs w:val="17"/>
                <w:rFonts w:ascii="Calibri" w:cs="Calibri" w:eastAsia="Calibri" w:hAnsi="Calibri"/>
              </w:rPr>
              <w:t xml:space="preserve">Shadow</w:t>
            </w:r>
            <w:r>
              <w:rPr>
                <w:color w:val="1B2335"/>
                <w:sz w:val="17"/>
                <w:szCs w:val="17"/>
                <w:rFonts w:ascii="Calibri" w:cs="Calibri" w:eastAsia="Calibri" w:hAnsi="Calibri"/>
              </w:rPr>
              <w:t xml:space="preserve"> (2–4 weeks)</w:t>
            </w:r>
          </w:p>
        </w:tc>
        <w:tc>
          <w:tcPr>
            <w:tcW w:type="dxa" w:w="3630"/>
            <w:tcBorders>
              <w:top w:val="single" w:color="D5DBE5" w:sz="4"/>
              <w:left w:val="single" w:color="D5DBE5" w:sz="4"/>
              <w:bottom w:val="single" w:color="D5DBE5" w:sz="4"/>
              <w:right w:val="single" w:color="D5DBE5" w:sz="4"/>
            </w:tcBorders>
            <w:shd w:fill="FFFFFF" w:color="auto" w:val="clear"/>
            <w:tcMar>
              <w:top w:type="dxa" w:w="50"/>
              <w:left w:type="dxa" w:w="90"/>
              <w:bottom w:type="dxa" w:w="50"/>
              <w:right w:type="dxa" w:w="90"/>
            </w:tcMar>
            <w:vAlign w:val="top"/>
          </w:tcPr>
          <w:p>
            <w:pPr>
              <w:spacing w:after="0" w:line="240"/>
            </w:pPr>
            <w:r>
              <w:rPr>
                <w:color w:val="1B2335"/>
                <w:sz w:val="17"/>
                <w:szCs w:val="17"/>
                <w:rFonts w:ascii="Calibri" w:cs="Calibri" w:eastAsia="Calibri" w:hAnsi="Calibri"/>
              </w:rPr>
              <w:t xml:space="preserve">Runs on every enquiry without notifying anyone; compared with the analyst weekly</w:t>
            </w:r>
          </w:p>
        </w:tc>
        <w:tc>
          <w:tcPr>
            <w:tcW w:type="dxa" w:w="4204"/>
            <w:tcBorders>
              <w:top w:val="single" w:color="D5DBE5" w:sz="4"/>
              <w:left w:val="single" w:color="D5DBE5" w:sz="4"/>
              <w:bottom w:val="single" w:color="D5DBE5" w:sz="4"/>
              <w:right w:val="single" w:color="D5DBE5" w:sz="4"/>
            </w:tcBorders>
            <w:shd w:fill="FFFFFF" w:color="auto" w:val="clear"/>
            <w:tcMar>
              <w:top w:type="dxa" w:w="50"/>
              <w:left w:type="dxa" w:w="90"/>
              <w:bottom w:type="dxa" w:w="50"/>
              <w:right w:type="dxa" w:w="90"/>
            </w:tcMar>
            <w:vAlign w:val="top"/>
          </w:tcPr>
          <w:p>
            <w:pPr>
              <w:spacing w:after="0" w:line="240"/>
            </w:pPr>
            <w:r>
              <w:rPr>
                <w:color w:val="1B2335"/>
                <w:sz w:val="17"/>
                <w:szCs w:val="17"/>
                <w:rFonts w:ascii="Calibri" w:cs="Calibri" w:eastAsia="Calibri" w:hAnsi="Calibri"/>
              </w:rPr>
              <w:t xml:space="preserve">At least 95% of enquiries needing a person are caught, at least 95% of automatic routes are correct, and no conflict or manipulation attempt is missed</w:t>
            </w:r>
          </w:p>
        </w:tc>
      </w:tr>
      <w:tr>
        <w:trPr>
          <w:cantSplit/>
        </w:trPr>
        <w:tc>
          <w:tcPr>
            <w:tcW w:type="dxa" w:w="1912"/>
            <w:tcBorders>
              <w:top w:val="single" w:color="D5DBE5" w:sz="4"/>
              <w:left w:val="single" w:color="D5DBE5" w:sz="4"/>
              <w:bottom w:val="single" w:color="D5DBE5" w:sz="4"/>
              <w:right w:val="single" w:color="D5DBE5" w:sz="4"/>
            </w:tcBorders>
            <w:shd w:fill="F7F9FC" w:color="auto" w:val="clear"/>
            <w:tcMar>
              <w:top w:type="dxa" w:w="50"/>
              <w:left w:type="dxa" w:w="90"/>
              <w:bottom w:type="dxa" w:w="50"/>
              <w:right w:type="dxa" w:w="90"/>
            </w:tcMar>
            <w:vAlign w:val="top"/>
          </w:tcPr>
          <w:p>
            <w:pPr>
              <w:spacing w:after="0" w:line="240"/>
            </w:pPr>
            <w:r>
              <w:rPr>
                <w:b/>
                <w:bCs/>
                <w:color w:val="0A1222"/>
                <w:sz w:val="17"/>
                <w:szCs w:val="17"/>
                <w:rFonts w:ascii="Calibri" w:cs="Calibri" w:eastAsia="Calibri" w:hAnsi="Calibri"/>
              </w:rPr>
              <w:t xml:space="preserve">Assisted</w:t>
            </w:r>
            <w:r>
              <w:rPr>
                <w:color w:val="1B2335"/>
                <w:sz w:val="17"/>
                <w:szCs w:val="17"/>
                <w:rFonts w:ascii="Calibri" w:cs="Calibri" w:eastAsia="Calibri" w:hAnsi="Calibri"/>
              </w:rPr>
              <w:t xml:space="preserve"> (4–8 weeks)</w:t>
            </w:r>
          </w:p>
        </w:tc>
        <w:tc>
          <w:tcPr>
            <w:tcW w:type="dxa" w:w="3630"/>
            <w:tcBorders>
              <w:top w:val="single" w:color="D5DBE5" w:sz="4"/>
              <w:left w:val="single" w:color="D5DBE5" w:sz="4"/>
              <w:bottom w:val="single" w:color="D5DBE5" w:sz="4"/>
              <w:right w:val="single" w:color="D5DBE5" w:sz="4"/>
            </w:tcBorders>
            <w:shd w:fill="F7F9FC" w:color="auto" w:val="clear"/>
            <w:tcMar>
              <w:top w:type="dxa" w:w="50"/>
              <w:left w:type="dxa" w:w="90"/>
              <w:bottom w:type="dxa" w:w="50"/>
              <w:right w:type="dxa" w:w="90"/>
            </w:tcMar>
            <w:vAlign w:val="top"/>
          </w:tcPr>
          <w:p>
            <w:pPr>
              <w:spacing w:after="0" w:line="240"/>
            </w:pPr>
            <w:r>
              <w:rPr>
                <w:color w:val="1B2335"/>
                <w:sz w:val="17"/>
                <w:szCs w:val="17"/>
                <w:rFonts w:ascii="Calibri" w:cs="Calibri" w:eastAsia="Calibri" w:hAnsi="Calibri"/>
              </w:rPr>
              <w:t xml:space="preserve">Team leads confirm each suggestion with a click; the analyst works only the review queue</w:t>
            </w:r>
          </w:p>
        </w:tc>
        <w:tc>
          <w:tcPr>
            <w:tcW w:type="dxa" w:w="4204"/>
            <w:tcBorders>
              <w:top w:val="single" w:color="D5DBE5" w:sz="4"/>
              <w:left w:val="single" w:color="D5DBE5" w:sz="4"/>
              <w:bottom w:val="single" w:color="D5DBE5" w:sz="4"/>
              <w:right w:val="single" w:color="D5DBE5" w:sz="4"/>
            </w:tcBorders>
            <w:shd w:fill="F7F9FC" w:color="auto" w:val="clear"/>
            <w:tcMar>
              <w:top w:type="dxa" w:w="50"/>
              <w:left w:type="dxa" w:w="90"/>
              <w:bottom w:type="dxa" w:w="50"/>
              <w:right w:type="dxa" w:w="90"/>
            </w:tcMar>
            <w:vAlign w:val="top"/>
          </w:tcPr>
          <w:p>
            <w:pPr>
              <w:spacing w:after="0" w:line="240"/>
            </w:pPr>
            <w:r>
              <w:rPr>
                <w:color w:val="1B2335"/>
                <w:sz w:val="17"/>
                <w:szCs w:val="17"/>
                <w:rFonts w:ascii="Calibri" w:cs="Calibri" w:eastAsia="Calibri" w:hAnsi="Calibri"/>
              </w:rPr>
              <w:t xml:space="preserve">Model errors below 10% for every line, and spot-checks at 95% or above</w:t>
            </w:r>
          </w:p>
        </w:tc>
      </w:tr>
      <w:tr>
        <w:trPr>
          <w:cantSplit/>
        </w:trPr>
        <w:tc>
          <w:tcPr>
            <w:tcW w:type="dxa" w:w="1912"/>
            <w:tcBorders>
              <w:top w:val="single" w:color="D5DBE5" w:sz="4"/>
              <w:left w:val="single" w:color="D5DBE5" w:sz="4"/>
              <w:bottom w:val="single" w:color="D5DBE5" w:sz="4"/>
              <w:right w:val="single" w:color="D5DBE5" w:sz="4"/>
            </w:tcBorders>
            <w:shd w:fill="FFFFFF" w:color="auto" w:val="clear"/>
            <w:tcMar>
              <w:top w:type="dxa" w:w="50"/>
              <w:left w:type="dxa" w:w="90"/>
              <w:bottom w:type="dxa" w:w="50"/>
              <w:right w:type="dxa" w:w="90"/>
            </w:tcMar>
            <w:vAlign w:val="top"/>
          </w:tcPr>
          <w:p>
            <w:pPr>
              <w:spacing w:after="0" w:line="240"/>
            </w:pPr>
            <w:r>
              <w:rPr>
                <w:b/>
                <w:bCs/>
                <w:color w:val="0A1222"/>
                <w:sz w:val="17"/>
                <w:szCs w:val="17"/>
                <w:rFonts w:ascii="Calibri" w:cs="Calibri" w:eastAsia="Calibri" w:hAnsi="Calibri"/>
              </w:rPr>
              <w:t xml:space="preserve">Automatic</w:t>
            </w:r>
            <w:r>
              <w:rPr>
                <w:color w:val="1B2335"/>
                <w:sz w:val="17"/>
                <w:szCs w:val="17"/>
                <w:rFonts w:ascii="Calibri" w:cs="Calibri" w:eastAsia="Calibri" w:hAnsi="Calibri"/>
              </w:rPr>
              <w:t xml:space="preserve"> (clear-cut cases)</w:t>
            </w:r>
          </w:p>
        </w:tc>
        <w:tc>
          <w:tcPr>
            <w:tcW w:type="dxa" w:w="3630"/>
            <w:tcBorders>
              <w:top w:val="single" w:color="D5DBE5" w:sz="4"/>
              <w:left w:val="single" w:color="D5DBE5" w:sz="4"/>
              <w:bottom w:val="single" w:color="D5DBE5" w:sz="4"/>
              <w:right w:val="single" w:color="D5DBE5" w:sz="4"/>
            </w:tcBorders>
            <w:shd w:fill="FFFFFF" w:color="auto" w:val="clear"/>
            <w:tcMar>
              <w:top w:type="dxa" w:w="50"/>
              <w:left w:type="dxa" w:w="90"/>
              <w:bottom w:type="dxa" w:w="50"/>
              <w:right w:type="dxa" w:w="90"/>
            </w:tcMar>
            <w:vAlign w:val="top"/>
          </w:tcPr>
          <w:p>
            <w:pPr>
              <w:spacing w:after="0" w:line="240"/>
            </w:pPr>
            <w:r>
              <w:rPr>
                <w:color w:val="1B2335"/>
                <w:sz w:val="17"/>
                <w:szCs w:val="17"/>
                <w:rFonts w:ascii="Calibri" w:cs="Calibri" w:eastAsia="Calibri" w:hAnsi="Calibri"/>
              </w:rPr>
              <w:t xml:space="preserve">Enquiries where the runs agree, nothing is flagged and the line is performing well route without confirmation</w:t>
            </w:r>
          </w:p>
        </w:tc>
        <w:tc>
          <w:tcPr>
            <w:tcW w:type="dxa" w:w="4204"/>
            <w:tcBorders>
              <w:top w:val="single" w:color="D5DBE5" w:sz="4"/>
              <w:left w:val="single" w:color="D5DBE5" w:sz="4"/>
              <w:bottom w:val="single" w:color="D5DBE5" w:sz="4"/>
              <w:right w:val="single" w:color="D5DBE5" w:sz="4"/>
            </w:tcBorders>
            <w:shd w:fill="FFFFFF" w:color="auto" w:val="clear"/>
            <w:tcMar>
              <w:top w:type="dxa" w:w="50"/>
              <w:left w:type="dxa" w:w="90"/>
              <w:bottom w:type="dxa" w:w="50"/>
              <w:right w:type="dxa" w:w="90"/>
            </w:tcMar>
            <w:vAlign w:val="top"/>
          </w:tcPr>
          <w:p>
            <w:pPr>
              <w:spacing w:after="0" w:line="240"/>
            </w:pPr>
            <w:r>
              <w:rPr>
                <w:color w:val="1B2335"/>
                <w:sz w:val="17"/>
                <w:szCs w:val="17"/>
                <w:rFonts w:ascii="Calibri" w:cs="Calibri" w:eastAsia="Calibri" w:hAnsi="Calibri"/>
              </w:rPr>
              <w:t xml:space="preserve">Continues while each line stays within its thresholds; a breach returns that line to assisted</w:t>
            </w:r>
          </w:p>
        </w:tc>
      </w:tr>
    </w:tbl>
    <w:p>
      <w:pPr>
        <w:spacing w:after="60"/>
      </w:pPr>
    </w:p>
    <w:p>
      <w:pPr>
        <w:spacing w:before="0" w:after="100" w:line="264"/>
      </w:pPr>
      <w:r>
        <w:rPr>
          <w:b/>
          <w:bCs/>
          <w:color w:val="0A1222"/>
          <w:sz w:val="20"/>
          <w:szCs w:val="20"/>
          <w:rFonts w:ascii="Calibri" w:cs="Calibri" w:eastAsia="Calibri" w:hAnsi="Calibri"/>
        </w:rPr>
        <w:t xml:space="preserve">First 90 days.</w:t>
      </w:r>
      <w:r>
        <w:rPr>
          <w:color w:val="1B2335"/>
          <w:sz w:val="20"/>
          <w:szCs w:val="20"/>
          <w:rFonts w:ascii="Calibri" w:cs="Calibri" w:eastAsia="Calibri" w:hAnsi="Calibri"/>
        </w:rPr>
        <w:t xml:space="preserve"> Month one: connect the real CRM and conflicts system, add single sign-on, start shadow mode, and build a fresh test set labelled by two people. Month two: make complexity ratings evidence-based, send audit clients asking for services the firm can't also provide to them straight to a person, and move to assisted mode. Month three: turn on automatic routing where it has been earned, and pilot external enrichment for prospects.</w:t>
      </w:r>
    </w:p>
    <w:p>
      <w:pPr>
        <w:pStyle w:val="Heading1"/>
        <w:pageBreakBefore/>
      </w:pPr>
      <w:r>
        <w:rPr>
          <w:color w:val="0891B2"/>
          <w:rFonts w:ascii="Calibri" w:cs="Calibri" w:eastAsia="Calibri" w:hAnsi="Calibri"/>
        </w:rPr>
        <w:t xml:space="preserve">A  </w:t>
      </w:r>
      <w:r>
        <w:rPr>
          <w:rFonts w:ascii="Calibri" w:cs="Calibri" w:eastAsia="Calibri" w:hAnsi="Calibri"/>
        </w:rPr>
        <w:t xml:space="preserve">The prototype</w:t>
      </w:r>
    </w:p>
    <w:p>
      <w:pPr>
        <w:spacing w:before="0" w:after="120" w:line="264"/>
      </w:pPr>
      <w:r>
        <w:rPr>
          <w:color w:val="1B2335"/>
          <w:sz w:val="20"/>
          <w:szCs w:val="20"/>
          <w:rFonts w:ascii="Calibri" w:cs="Calibri" w:eastAsia="Calibri" w:hAnsi="Calibri"/>
        </w:rPr>
        <w:t xml:space="preserve">The prototype is a small Python web application that runs with a single command in Docker. The code, test data, full evaluation results and decision log are in the repository linked at the top. These screens come from the running application with the test data loaded.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c>
          <w:tcPr>
            <w:tcW w:type="dxa" w:w="4873"/>
            <w:tcBorders>
              <w:top w:val="none" w:color="FFFFFF" w:sz="0"/>
              <w:left w:val="none" w:color="FFFFFF" w:sz="0"/>
              <w:bottom w:val="none" w:color="FFFFFF" w:sz="0"/>
              <w:right w:val="none" w:color="FFFFFF" w:sz="0"/>
            </w:tcBorders>
            <w:tcMar>
              <w:left w:type="dxa" w:w="60"/>
              <w:right w:type="dxa" w:w="60"/>
            </w:tcMar>
          </w:tcPr>
          <w:p>
            <w:pPr>
              <w:spacing w:before="60"/>
              <w:jc w:val="center"/>
            </w:pPr>
            <w:r>
              <w:drawing>
                <wp:inline distT="0" distB="0" distL="0" distR="0">
                  <wp:extent cx="2981325" cy="1819275"/>
                  <wp:effectExtent t="0" r="0" b="0" l="0"/>
                  <wp:docPr id="1" name="d_inbox.png" descr="d_inbox.png" title="d_in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981325" cy="1819275"/>
                          </a:xfrm>
                          <a:prstGeom prst="rect">
                            <a:avLst/>
                          </a:prstGeom>
                        </pic:spPr>
                      </pic:pic>
                    </a:graphicData>
                  </a:graphic>
                </wp:inline>
              </w:drawing>
            </w:r>
          </w:p>
          <w:p>
            <w:pPr>
              <w:spacing w:before="40" w:after="120"/>
              <w:jc w:val="center"/>
            </w:pPr>
            <w:r>
              <w:rPr>
                <w:i/>
                <w:iCs/>
                <w:color w:val="5B6478"/>
                <w:sz w:val="16"/>
                <w:szCs w:val="16"/>
                <w:rFonts w:ascii="Calibri" w:cs="Calibri" w:eastAsia="Calibri" w:hAnsi="Calibri"/>
              </w:rPr>
              <w:t xml:space="preserve">Inbox: every enquiry, where it went, and how many needed a person</w:t>
            </w:r>
          </w:p>
        </w:tc>
        <w:tc>
          <w:tcPr>
            <w:tcW w:type="dxa" w:w="4873"/>
            <w:tcBorders>
              <w:top w:val="none" w:color="FFFFFF" w:sz="0"/>
              <w:left w:val="none" w:color="FFFFFF" w:sz="0"/>
              <w:bottom w:val="none" w:color="FFFFFF" w:sz="0"/>
              <w:right w:val="none" w:color="FFFFFF" w:sz="0"/>
            </w:tcBorders>
            <w:tcMar>
              <w:left w:type="dxa" w:w="60"/>
              <w:right w:type="dxa" w:w="60"/>
            </w:tcMar>
          </w:tcPr>
          <w:p>
            <w:pPr>
              <w:spacing w:before="60"/>
              <w:jc w:val="center"/>
            </w:pPr>
            <w:r>
              <w:drawing>
                <wp:inline distT="0" distB="0" distL="0" distR="0">
                  <wp:extent cx="2981325" cy="2066925"/>
                  <wp:effectExtent t="0" r="0" b="0" l="0"/>
                  <wp:docPr id="1" name="d_detail.png" descr="d_detail.png" title="d_detai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981325" cy="2066925"/>
                          </a:xfrm>
                          <a:prstGeom prst="rect">
                            <a:avLst/>
                          </a:prstGeom>
                        </pic:spPr>
                      </pic:pic>
                    </a:graphicData>
                  </a:graphic>
                </wp:inline>
              </w:drawing>
            </w:r>
          </w:p>
          <w:p>
            <w:pPr>
              <w:spacing w:before="40" w:after="120"/>
              <w:jc w:val="center"/>
            </w:pPr>
            <w:r>
              <w:rPr>
                <w:i/>
                <w:iCs/>
                <w:color w:val="5B6478"/>
                <w:sz w:val="16"/>
                <w:szCs w:val="16"/>
                <w:rFonts w:ascii="Calibri" w:cs="Calibri" w:eastAsia="Calibri" w:hAnsi="Calibri"/>
              </w:rPr>
              <w:t xml:space="preserve">Enquiry detail: the model's reading, the rules applied in order, and the client context</w:t>
            </w:r>
          </w:p>
        </w:tc>
      </w:tr>
      <w:tr>
        <w:tc>
          <w:tcPr>
            <w:tcW w:type="dxa" w:w="4873"/>
            <w:tcBorders>
              <w:top w:val="none" w:color="FFFFFF" w:sz="0"/>
              <w:left w:val="none" w:color="FFFFFF" w:sz="0"/>
              <w:bottom w:val="none" w:color="FFFFFF" w:sz="0"/>
              <w:right w:val="none" w:color="FFFFFF" w:sz="0"/>
            </w:tcBorders>
            <w:tcMar>
              <w:left w:type="dxa" w:w="60"/>
              <w:right w:type="dxa" w:w="60"/>
            </w:tcMar>
          </w:tcPr>
          <w:p>
            <w:pPr>
              <w:spacing w:before="60"/>
              <w:jc w:val="center"/>
            </w:pPr>
            <w:r>
              <w:drawing>
                <wp:inline distT="0" distB="0" distL="0" distR="0">
                  <wp:extent cx="2981325" cy="1819275"/>
                  <wp:effectExtent t="0" r="0" b="0" l="0"/>
                  <wp:docPr id="1" name="d_review.png" descr="d_review.png" title="d_re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981325" cy="1819275"/>
                          </a:xfrm>
                          <a:prstGeom prst="rect">
                            <a:avLst/>
                          </a:prstGeom>
                        </pic:spPr>
                      </pic:pic>
                    </a:graphicData>
                  </a:graphic>
                </wp:inline>
              </w:drawing>
            </w:r>
          </w:p>
          <w:p>
            <w:pPr>
              <w:spacing w:before="40" w:after="120"/>
              <w:jc w:val="center"/>
            </w:pPr>
            <w:r>
              <w:rPr>
                <w:i/>
                <w:iCs/>
                <w:color w:val="5B6478"/>
                <w:sz w:val="16"/>
                <w:szCs w:val="16"/>
                <w:rFonts w:ascii="Calibri" w:cs="Calibri" w:eastAsia="Calibri" w:hAnsi="Calibri"/>
              </w:rPr>
              <w:t xml:space="preserve">Review queue: each enquiry that needs a person, with the reason at the top</w:t>
            </w:r>
          </w:p>
        </w:tc>
        <w:tc>
          <w:tcPr>
            <w:tcW w:type="dxa" w:w="4873"/>
            <w:tcBorders>
              <w:top w:val="none" w:color="FFFFFF" w:sz="0"/>
              <w:left w:val="none" w:color="FFFFFF" w:sz="0"/>
              <w:bottom w:val="none" w:color="FFFFFF" w:sz="0"/>
              <w:right w:val="none" w:color="FFFFFF" w:sz="0"/>
            </w:tcBorders>
            <w:tcMar>
              <w:left w:type="dxa" w:w="60"/>
              <w:right w:type="dxa" w:w="60"/>
            </w:tcMar>
          </w:tcPr>
          <w:p>
            <w:pPr>
              <w:spacing w:before="60"/>
              <w:jc w:val="center"/>
            </w:pPr>
            <w:r>
              <w:drawing>
                <wp:inline distT="0" distB="0" distL="0" distR="0">
                  <wp:extent cx="2981325" cy="2066925"/>
                  <wp:effectExtent t="0" r="0" b="0" l="0"/>
                  <wp:docPr id="1" name="d_config.png" descr="d_config.png" title="d_confi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981325" cy="2066925"/>
                          </a:xfrm>
                          <a:prstGeom prst="rect">
                            <a:avLst/>
                          </a:prstGeom>
                        </pic:spPr>
                      </pic:pic>
                    </a:graphicData>
                  </a:graphic>
                </wp:inline>
              </w:drawing>
            </w:r>
          </w:p>
          <w:p>
            <w:pPr>
              <w:spacing w:before="40" w:after="120"/>
              <w:jc w:val="center"/>
            </w:pPr>
            <w:r>
              <w:rPr>
                <w:i/>
                <w:iCs/>
                <w:color w:val="5B6478"/>
                <w:sz w:val="16"/>
                <w:szCs w:val="16"/>
                <w:rFonts w:ascii="Calibri" w:cs="Calibri" w:eastAsia="Calibri" w:hAnsi="Calibri"/>
              </w:rPr>
              <w:t xml:space="preserve">Configuration: the routing logic in plain English, editable with an impact preview</w:t>
            </w:r>
          </w:p>
        </w:tc>
      </w:tr>
    </w:tbl>
    <w:sectPr>
      <w:headerReference w:type="default" r:id="rId6"/>
      <w:footerReference w:type="default" r:id="rId7"/>
      <w:pgSz w:w="11906" w:h="16838" w:orient="portrait"/>
      <w:pgMar w:top="1000" w:right="1080" w:bottom="1000" w:left="1080" w:header="50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B6478"/>
        <w:sz w:val="15"/>
        <w:szCs w:val="15"/>
        <w:rFonts w:ascii="Calibri" w:cs="Calibri" w:eastAsia="Calibri" w:hAnsi="Calibri"/>
      </w:rPr>
      <w:t xml:space="preserve">Page </w:t>
    </w:r>
    <w:r>
      <w:rPr>
        <w:color w:val="5B6478"/>
        <w:sz w:val="15"/>
        <w:szCs w:val="15"/>
        <w:rFonts w:ascii="Calibri" w:cs="Calibri" w:eastAsia="Calibri" w:hAnsi="Calibri"/>
      </w:rPr>
      <w:fldChar w:fldCharType="begin"/>
      <w:instrText xml:space="preserve">PAGE</w:instrText>
      <w:fldChar w:fldCharType="separate"/>
      <w:fldChar w:fldCharType="end"/>
    </w:r>
    <w:r>
      <w:rPr>
        <w:color w:val="5B6478"/>
        <w:sz w:val="15"/>
        <w:szCs w:val="15"/>
        <w:rFonts w:ascii="Calibri" w:cs="Calibri" w:eastAsia="Calibri" w:hAnsi="Calibri"/>
      </w:rPr>
      <w:t xml:space="preserve"> of </w:t>
    </w:r>
    <w:r>
      <w:rPr>
        <w:color w:val="5B6478"/>
        <w:sz w:val="15"/>
        <w:szCs w:val="15"/>
        <w:rFonts w:ascii="Calibri" w:cs="Calibri" w:eastAsia="Calibri" w:hAnsi="Calibri"/>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478"/>
        <w:sz w:val="15"/>
        <w:szCs w:val="15"/>
        <w:rFonts w:ascii="Calibri" w:cs="Calibri" w:eastAsia="Calibri" w:hAnsi="Calibri"/>
      </w:rPr>
      <w:t xml:space="preserve">Intake Triage Agent · Design, evaluation and production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40"/>
      </w:pPr>
    </w:lvl>
  </w:abstractNum>
  <w:abstractNum w:abstractNumId="3" w15:restartNumberingAfterBreak="0">
    <w:multiLevelType w:val="hybridMultilevel"/>
    <w:lvl w:ilvl="0" w15:tentative="1">
      <w:start w:val="1"/>
      <w:numFmt w:val="decimal"/>
      <w:lvlText w:val="%1."/>
      <w:lvlJc w:val="left"/>
      <w:pPr>
        <w:ind w:left="340" w:hanging="2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color w:val="1B2335"/>
        <w:sz w:val="20"/>
        <w:szCs w:val="20"/>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keepNext/>
      <w:spacing w:before="200" w:after="100"/>
      <w:outlineLvl w:val="0"/>
    </w:pPr>
    <w:rPr>
      <w:b/>
      <w:bCs/>
      <w:color w:val="0A1222"/>
      <w:sz w:val="30"/>
      <w:szCs w:val="30"/>
      <w:rFonts w:ascii="Calibri" w:cs="Calibri" w:eastAsia="Calibri" w:hAnsi="Calibri"/>
    </w:rPr>
  </w:style>
  <w:style w:type="paragraph" w:styleId="Heading2">
    <w:name w:val="Heading 2"/>
    <w:basedOn w:val="Normal"/>
    <w:next w:val="Normal"/>
    <w:qFormat/>
    <w:pPr>
      <w:keepNext/>
      <w:spacing w:before="160" w:after="60"/>
      <w:outlineLvl w:val="1"/>
    </w:pPr>
    <w:rPr>
      <w:b/>
      <w:bCs/>
      <w:color w:val="0891B2"/>
      <w:sz w:val="23"/>
      <w:szCs w:val="23"/>
      <w:rFonts w:ascii="Calibri" w:cs="Calibri" w:eastAsia="Calibri" w:hAnsi="Calibri"/>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_ouam7bpzpx_rp4ccodou" Type="http://schemas.openxmlformats.org/officeDocument/2006/relationships/hyperlink" Target="https://github.com/harshadindigal-dev/AIVCInterview" TargetMode="External"/><Relationship Id="rId8" Type="http://schemas.openxmlformats.org/officeDocument/2006/relationships/image" Target="media/abdab0fed354cefd536f4465fc6b1b97616e70c3.png"/><Relationship Id="rId9" Type="http://schemas.openxmlformats.org/officeDocument/2006/relationships/image" Target="media/20d5aebbaee82d5e0b4a1dd1c39eaa9ab9ebc2a4.png"/><Relationship Id="rId10" Type="http://schemas.openxmlformats.org/officeDocument/2006/relationships/image" Target="media/38238600af5e4a82602bc42319bc8c56e5ba13a8.png"/><Relationship Id="rId11" Type="http://schemas.openxmlformats.org/officeDocument/2006/relationships/image" Target="media/e5f90861b8fc162c7bae1be172bfacd17801b745.png"/><Relationship Id="rId12" Type="http://schemas.openxmlformats.org/officeDocument/2006/relationships/image" Target="media/d54ce137b75e08c864b0f4c65e49173b2a44f676.png"/><Relationship Id="rId14"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Intake Triage Agent: design, evaluation and production plan</dc:title>
  <dc:creator>Harsha Dindigal</dc:creator>
  <cp:lastModifiedBy>Un-named</cp:lastModifiedBy>
  <cp:revision>1</cp:revision>
  <dcterms:created xsi:type="dcterms:W3CDTF">2026-10-13T15:40:44.811Z</dcterms:created>
  <dcterms:modified xsi:type="dcterms:W3CDTF">2026-10-13T15:40:44.829Z</dcterms:modified>
</cp:coreProperties>
</file>

<file path=docProps/custom.xml><?xml version="1.0" encoding="utf-8"?>
<Properties xmlns="http://schemas.openxmlformats.org/officeDocument/2006/custom-properties" xmlns:vt="http://schemas.openxmlformats.org/officeDocument/2006/docPropsVTypes"/>
</file>