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r>
        <w:rPr>
          <w:b/>
          <w:color w:val="2563EB"/>
          <w:sz w:val="26"/>
        </w:rPr>
        <w:t>IBM SkillsBuild Academic Internship Program</w:t>
      </w:r>
    </w:p>
    <w:p>
      <w:r>
        <w:rPr>
          <w:color w:val="64748B"/>
          <w:sz w:val="22"/>
        </w:rPr>
        <w:t>Track: Data Analytics with AI</w:t>
      </w:r>
    </w:p>
    <w:p>
      <w:pPr>
        <w:spacing w:before="720" w:after="240"/>
      </w:pPr>
      <w:r>
        <w:rPr>
          <w:b/>
          <w:color w:val="1E3A8A"/>
          <w:sz w:val="48"/>
        </w:rPr>
        <w:t>Smartphone Market Intelligence &amp; Pricing Analytics</w:t>
      </w:r>
    </w:p>
    <w:p>
      <w:pPr>
        <w:spacing w:after="960"/>
      </w:pPr>
      <w:r>
        <w:rPr>
          <w:i/>
          <w:color w:val="475569"/>
          <w:sz w:val="26"/>
        </w:rPr>
        <w:t>Data-Driven Analysis of Smartphone Pricing, Specifications, Brands, and Market Segments</w:t>
      </w:r>
    </w:p>
    <w:p>
      <w:pPr>
        <w:spacing w:before="1920"/>
      </w:pPr>
      <w:r>
        <w:rPr>
          <w:color w:val="334155"/>
          <w:sz w:val="20"/>
        </w:rPr>
        <w:t>Candidate: Harsha</w:t>
        <w:br/>
        <w:t>Role: Lead Data Analytics Engineer</w:t>
        <w:br/>
        <w:t>Dataset Source: data/smartphones.csv (758 Observations, 27 Features)</w:t>
        <w:br/>
        <w:t>Submission Date: September 2026</w:t>
        <w:br/>
        <w:t>Status: Final Evaluated Project Deliverable</w:t>
      </w:r>
    </w:p>
    <w:p>
      <w:r>
        <w:br w:type="page"/>
      </w:r>
    </w:p>
    <w:p>
      <w:pPr>
        <w:pStyle w:val="Heading1"/>
        <w:keepNext/>
        <w:spacing w:before="240" w:after="80"/>
      </w:pPr>
      <w:r>
        <w:rPr>
          <w:b/>
          <w:color w:val="1E3A8A"/>
          <w:sz w:val="32"/>
        </w:rPr>
        <w:t>2. Executive Summary</w:t>
      </w:r>
    </w:p>
    <w:p>
      <w:r>
        <w:rPr>
          <w:b/>
          <w:color w:val="B45309"/>
        </w:rPr>
        <w:t>SCOPE NOTE &amp; DATASET REPRESENTATION:</w:t>
        <w:br/>
      </w:r>
      <w:r>
        <w:rPr>
          <w:i/>
          <w:color w:val="92400E"/>
        </w:rPr>
        <w:t>This project analyzes a Kaggle catalog of smartphone models and their technical and pricing attributes. The dataset does not represent actual unit sales, revenue, consumer demand, market share, or complete coverage of the Indian smartphone market.</w:t>
      </w:r>
    </w:p>
    <w:p>
      <w:r>
        <w:t>This project presents an empirical, end-to-end data analytics and econometric modeling study of the retail smartphone catalog in India, evaluating 758 smartphone models across 26 distinct brands. By adhering to strict scientific guardrails, every metric, distribution, and strategic insight is derived directly from verified data without subjective conjectures. Crucially, the dataset represents cross-sectional catalog listings (SKU breadth), rather than units shipped or consumer sales volume.</w:t>
      </w:r>
    </w:p>
    <w:p>
      <w:pPr>
        <w:pStyle w:val="Heading2"/>
        <w:keepNext/>
        <w:spacing w:before="240" w:after="80"/>
      </w:pPr>
      <w:r>
        <w:rPr>
          <w:b/>
          <w:color w:val="2563EB"/>
          <w:sz w:val="26"/>
        </w:rPr>
        <w:t>Executive Dashboard Overview</w:t>
      </w:r>
    </w:p>
    <w:p>
      <w:pPr>
        <w:spacing w:before="160" w:after="40"/>
        <w:jc w:val="center"/>
      </w:pPr>
      <w:r>
        <w:drawing>
          <wp:inline xmlns:a="http://schemas.openxmlformats.org/drawingml/2006/main" xmlns:pic="http://schemas.openxmlformats.org/drawingml/2006/picture">
            <wp:extent cx="5669280" cy="7475361"/>
            <wp:docPr id="1" name="Picture 1"/>
            <wp:cNvGraphicFramePr>
              <a:graphicFrameLocks noChangeAspect="1"/>
            </wp:cNvGraphicFramePr>
            <a:graphic>
              <a:graphicData uri="http://schemas.openxmlformats.org/drawingml/2006/picture">
                <pic:pic>
                  <pic:nvPicPr>
                    <pic:cNvPr id="0" name="00_executive_dashboard.png"/>
                    <pic:cNvPicPr/>
                  </pic:nvPicPr>
                  <pic:blipFill>
                    <a:blip r:embed="rId9"/>
                    <a:stretch>
                      <a:fillRect/>
                    </a:stretch>
                  </pic:blipFill>
                  <pic:spPr>
                    <a:xfrm>
                      <a:off x="0" y="0"/>
                      <a:ext cx="5669280" cy="7475361"/>
                    </a:xfrm>
                    <a:prstGeom prst="rect"/>
                  </pic:spPr>
                </pic:pic>
              </a:graphicData>
            </a:graphic>
          </wp:inline>
        </w:drawing>
      </w:r>
    </w:p>
    <w:p>
      <w:pPr>
        <w:spacing w:after="200"/>
        <w:jc w:val="center"/>
      </w:pPr>
      <w:r>
        <w:rPr>
          <w:i/>
          <w:color w:val="64748B"/>
          <w:sz w:val="17"/>
        </w:rPr>
        <w:t>Figure 0: Executive KPI &amp; Analytical Dashboard</w:t>
      </w:r>
    </w:p>
    <w:p>
      <w:r>
        <w:t>Key Verified Findings:</w:t>
        <w:br/>
        <w:t>1. Catalog Center &amp; Skewness: The catalog median price is ₹18,999.00 (mean: ₹29,424.09), displaying substantial right-skewness (+3.04) extending from ₹4,040 to ₹2,29,900. Over 70% of available models sit under ₹25,000.</w:t>
        <w:br/>
        <w:t>2. Universal 5G Saturation Above ₹20k: Overall 5G penetration reaches 86.68% across the catalog, climbing from 31.3% in Budget (&lt;₹10k) to 96.0% in Lower-Mid (₹10k–₹20k) and achieving 100.0% in all models priced ₹20,000 and above.</w:t>
        <w:br/>
        <w:t>3. NFC Gatekeeping: NFC adoption is tightly gated by price bracket—5.3% in Budget, 20.9% in Lower-Mid, 40.8% in Mid-Range, 80.8% in Upper-Mid, and 100.0% in Flagships.</w:t>
        <w:br/>
        <w:t>4. Compute and Memory Pricing Determinants: CPU clock speed (r = 0.784, coef +0.258) and internal storage (r = 0.754, coef +0.244) exhibit the strongest direct associations with price. The model explains approximately 89.24% of the variation in log-transformed listed prices within the analyzed dataset (test MAE: ₹5,321.21).</w:t>
        <w:br/>
        <w:t>5. Catalog Representation Concentration: Realme (17.7%), Samsung (13.7%), and Vivo (12.4%) represent 43.8% of all 758 catalog models, while MediaTek appears in 51.2% of the smartphone models represented in the analyzed catalog (dominated by the Dimensity 6300 chipset).</w:t>
      </w:r>
    </w:p>
    <w:p>
      <w:pPr>
        <w:pStyle w:val="Heading1"/>
        <w:keepNext/>
        <w:spacing w:before="240" w:after="80"/>
      </w:pPr>
      <w:r>
        <w:rPr>
          <w:b/>
          <w:color w:val="1E3A8A"/>
          <w:sz w:val="32"/>
        </w:rPr>
        <w:t>3. Introduction</w:t>
      </w:r>
    </w:p>
    <w:p>
      <w:r>
        <w:t>The consumer electronics sector, particularly mobile communications, represents one of the fastest-moving technology verticals globally. In India, retail smartphones span an immense spectrum from ultra-budget connectivity tools costing under ₹5,000 to luxury productivity platforms exceeding ₹2,00,000. In such an environment, consumer purchasing decisions and OEM catalog planning are shaped by nuanced trade-offs between processing speed, memory, display refresh rates, optics, and cellular generations. This study establishes a rigorous data pipeline to analyze these market dynamics.</w:t>
      </w:r>
    </w:p>
    <w:p>
      <w:pPr>
        <w:pStyle w:val="Heading1"/>
        <w:keepNext/>
        <w:spacing w:before="240" w:after="80"/>
      </w:pPr>
      <w:r>
        <w:rPr>
          <w:b/>
          <w:color w:val="1E3A8A"/>
          <w:sz w:val="32"/>
        </w:rPr>
        <w:t>4. Problem Statement</w:t>
      </w:r>
    </w:p>
    <w:p>
      <w:r>
        <w:t>Product managers, retail analysts, and consumers in the smartphone industry confront three persistent analytical obstacles:</w:t>
        <w:br/>
        <w:t>• Specification Inflation vs. Pricing Premium: OEMs frequently bundle hardware components without empirical clarity on their marginal pricing power or contribution to composite performance benchmarks.</w:t>
        <w:br/>
        <w:t>• Catalog Overcrowding &amp; Cannibalization: High-volume price segments suffer from extreme SKU proliferation, creating internal brand competition and feature commoditization.</w:t>
        <w:br/>
        <w:t>• Unidentified Whitespace Corridors: Manufacturers struggle to identify underserved feature combinations where customer willingness-to-pay intersects with modern technological baselines (e.g. affordable NFC or high-wattage charging).</w:t>
      </w:r>
    </w:p>
    <w:p>
      <w:pPr>
        <w:pStyle w:val="Heading1"/>
        <w:keepNext/>
        <w:spacing w:before="240" w:after="80"/>
      </w:pPr>
      <w:r>
        <w:rPr>
          <w:b/>
          <w:color w:val="1E3A8A"/>
          <w:sz w:val="32"/>
        </w:rPr>
        <w:t>5. Project Objectives</w:t>
      </w:r>
    </w:p>
    <w:p>
      <w:r>
        <w:t>The project is structured around six core analytical goals:</w:t>
        <w:br/>
        <w:t>1. Baseline Formulation: Establish verified KPIs for pricing, compute, memory, display, battery, and connectivity.</w:t>
        <w:br/>
        <w:t>2. Structural Market Mapping: Profile brand representation, silicon provider distribution, and price-tier segmentation.</w:t>
        <w:br/>
        <w:t>3. Econometric Hedonic Modeling: Quantify the marginal pricing power of individual hardware specifications using regularized regression.</w:t>
        <w:br/>
        <w:t>4. Mathematical Segmentation: Cluster the catalog using unsupervised learning to reveal empirical hardware archetypes.</w:t>
        <w:br/>
        <w:t>5. Efficiency &amp; Risk Mapping: Identify Pareto-optimal value-frontier models and flag overpriced or spec-deficient configurations.</w:t>
        <w:br/>
        <w:t>6. Decision Support: Formulate traceable, data-linked action recommendations for OEM product planning roadmaps.</w:t>
      </w:r>
    </w:p>
    <w:p>
      <w:pPr>
        <w:pStyle w:val="Heading1"/>
        <w:keepNext/>
        <w:spacing w:before="240" w:after="80"/>
      </w:pPr>
      <w:r>
        <w:rPr>
          <w:b/>
          <w:color w:val="1E3A8A"/>
          <w:sz w:val="32"/>
        </w:rPr>
        <w:t>6. Dataset Description</w:t>
      </w:r>
    </w:p>
    <w:p>
      <w:r>
        <w:t>The underlying dataset (data/smartphones.csv) captures a cross-sectional snapshot of retail smartphone specifications in India. It encompasses exactly 758 unique models across 27 initial variables, spanning brand metadata, retail pricing in INR, technical benchmark scores (rating_score), processor specifications, memory capacity, display dimensions, charging wattage, camera sensors, and network flags. The dataset is cross-sectional and lacks longitudinal time-series tracking or retail unit sales volumes.</w:t>
      </w:r>
    </w:p>
    <w:p>
      <w:pPr>
        <w:pStyle w:val="Heading1"/>
        <w:keepNext/>
        <w:spacing w:before="240" w:after="80"/>
      </w:pPr>
      <w:r>
        <w:rPr>
          <w:b/>
          <w:color w:val="1E3A8A"/>
          <w:sz w:val="32"/>
        </w:rPr>
        <w:t>7. Data Preparation</w:t>
      </w:r>
    </w:p>
    <w:p>
      <w:r>
        <w:t>Data preparation was executed via a deterministic, modular pipeline (src/data_cleaning.py). The raw dataset was preserved as immutable. Nine derived features were engineered to support downstream econometric and clustering models:</w:t>
        <w:br/>
        <w:t>• ppi: Display pixel density calculated as sqrt(width^2 + height^2) / display_inches.</w:t>
        <w:br/>
        <w:t>• aspect_ratio: Screen height divided by width.</w:t>
        <w:br/>
        <w:t>• price_tier: Grounded 5-tier segmentation (Budget, Lower-Mid, Mid-Range, Upper-Mid, Premium).</w:t>
        <w:br/>
        <w:t>• log_price: Natural logarithm ln(price_inr) to normalize extreme right-skewness.</w:t>
        <w:br/>
        <w:t>• value_ratio: Spec score return per ₹1,000 spent ((rating_score / price_inr) * 1000).</w:t>
        <w:br/>
        <w:t>• screen_category: Categorized into Ultra-Compact (&lt;5.0"), Standard (5.0"–7.0"), and Large/Foldable (&gt;7.0").</w:t>
        <w:br/>
        <w:t>• is_high_refresh: Flag for refresh rates &gt;= 120Hz.</w:t>
      </w:r>
    </w:p>
    <w:p>
      <w:pPr>
        <w:pStyle w:val="Heading1"/>
        <w:keepNext/>
        <w:spacing w:before="240" w:after="80"/>
      </w:pPr>
      <w:r>
        <w:rPr>
          <w:b/>
          <w:color w:val="1E3A8A"/>
          <w:sz w:val="32"/>
        </w:rPr>
        <w:t>8. Data Quality Assessment</w:t>
      </w:r>
    </w:p>
    <w:p>
      <w:r>
        <w:t>A programmatic audit verified zero duplicate records across all 758 models. Missing values were isolated to front_camera_main_mp (5 records, where front_camera_count == 0; imputed 0.0 MP) and memory card fields (207 records; imputed supported = False and type = 'none'). A logical inconsistency in 168 rows (supported == False yet type == 'dedicated') was harmonized by setting type = 'none'. One display resolution entry typo (Ringme Bold P70, 128x160 px on a 6.3" screen) was explicitly flagged with resolution_anomaly = True. Crucially, exactly zero rows were silently deleted.</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E3A8A"/>
          </w:tcPr>
          <w:p>
            <w:pPr>
              <w:jc w:val="center"/>
            </w:pPr>
            <w:r>
              <w:rPr>
                <w:b/>
                <w:color w:val="FFFFFF"/>
                <w:sz w:val="18"/>
              </w:rPr>
              <w:t>Metric</w:t>
            </w:r>
          </w:p>
        </w:tc>
        <w:tc>
          <w:tcPr>
            <w:tcW w:type="dxa" w:w="4680"/>
            <w:shd w:val="clear" w:color="auto" w:fill="1E3A8A"/>
          </w:tcPr>
          <w:p>
            <w:pPr>
              <w:jc w:val="center"/>
            </w:pPr>
            <w:r>
              <w:rPr>
                <w:b/>
                <w:color w:val="FFFFFF"/>
                <w:sz w:val="18"/>
              </w:rPr>
              <w:t>Value</w:t>
            </w:r>
          </w:p>
        </w:tc>
      </w:tr>
      <w:tr>
        <w:tc>
          <w:tcPr>
            <w:tcW w:type="dxa" w:w="4680"/>
            <w:shd w:val="clear" w:color="auto" w:fill="FFFFFF"/>
          </w:tcPr>
          <w:p>
            <w:pPr>
              <w:jc w:val="left"/>
            </w:pPr>
            <w:r>
              <w:rPr>
                <w:color w:val="1E293B"/>
                <w:sz w:val="17"/>
              </w:rPr>
              <w:t>Rows Before Cleaning</w:t>
            </w:r>
          </w:p>
        </w:tc>
        <w:tc>
          <w:tcPr>
            <w:tcW w:type="dxa" w:w="4680"/>
            <w:shd w:val="clear" w:color="auto" w:fill="FFFFFF"/>
          </w:tcPr>
          <w:p>
            <w:pPr>
              <w:jc w:val="left"/>
            </w:pPr>
            <w:r>
              <w:rPr>
                <w:color w:val="1E293B"/>
                <w:sz w:val="17"/>
              </w:rPr>
              <w:t>758</w:t>
            </w:r>
          </w:p>
        </w:tc>
      </w:tr>
      <w:tr>
        <w:tc>
          <w:tcPr>
            <w:tcW w:type="dxa" w:w="4680"/>
            <w:shd w:val="clear" w:color="auto" w:fill="F8FAFC"/>
          </w:tcPr>
          <w:p>
            <w:pPr>
              <w:jc w:val="left"/>
            </w:pPr>
            <w:r>
              <w:rPr>
                <w:color w:val="1E293B"/>
                <w:sz w:val="17"/>
              </w:rPr>
              <w:t>Rows After Cleaning</w:t>
            </w:r>
          </w:p>
        </w:tc>
        <w:tc>
          <w:tcPr>
            <w:tcW w:type="dxa" w:w="4680"/>
            <w:shd w:val="clear" w:color="auto" w:fill="F8FAFC"/>
          </w:tcPr>
          <w:p>
            <w:pPr>
              <w:jc w:val="left"/>
            </w:pPr>
            <w:r>
              <w:rPr>
                <w:color w:val="1E293B"/>
                <w:sz w:val="17"/>
              </w:rPr>
              <w:t>758</w:t>
            </w:r>
          </w:p>
        </w:tc>
      </w:tr>
      <w:tr>
        <w:tc>
          <w:tcPr>
            <w:tcW w:type="dxa" w:w="4680"/>
            <w:shd w:val="clear" w:color="auto" w:fill="FFFFFF"/>
          </w:tcPr>
          <w:p>
            <w:pPr>
              <w:jc w:val="left"/>
            </w:pPr>
            <w:r>
              <w:rPr>
                <w:color w:val="1E293B"/>
                <w:sz w:val="17"/>
              </w:rPr>
              <w:t>Rows Silently Deleted</w:t>
            </w:r>
          </w:p>
        </w:tc>
        <w:tc>
          <w:tcPr>
            <w:tcW w:type="dxa" w:w="4680"/>
            <w:shd w:val="clear" w:color="auto" w:fill="FFFFFF"/>
          </w:tcPr>
          <w:p>
            <w:pPr>
              <w:jc w:val="left"/>
            </w:pPr>
            <w:r>
              <w:rPr>
                <w:color w:val="1E293B"/>
                <w:sz w:val="17"/>
              </w:rPr>
              <w:t>0</w:t>
            </w:r>
          </w:p>
        </w:tc>
      </w:tr>
      <w:tr>
        <w:tc>
          <w:tcPr>
            <w:tcW w:type="dxa" w:w="4680"/>
            <w:shd w:val="clear" w:color="auto" w:fill="F8FAFC"/>
          </w:tcPr>
          <w:p>
            <w:pPr>
              <w:jc w:val="left"/>
            </w:pPr>
            <w:r>
              <w:rPr>
                <w:color w:val="1E293B"/>
                <w:sz w:val="17"/>
              </w:rPr>
              <w:t>Columns Before Cleaning</w:t>
            </w:r>
          </w:p>
        </w:tc>
        <w:tc>
          <w:tcPr>
            <w:tcW w:type="dxa" w:w="4680"/>
            <w:shd w:val="clear" w:color="auto" w:fill="F8FAFC"/>
          </w:tcPr>
          <w:p>
            <w:pPr>
              <w:jc w:val="left"/>
            </w:pPr>
            <w:r>
              <w:rPr>
                <w:color w:val="1E293B"/>
                <w:sz w:val="17"/>
              </w:rPr>
              <w:t>27</w:t>
            </w:r>
          </w:p>
        </w:tc>
      </w:tr>
      <w:tr>
        <w:tc>
          <w:tcPr>
            <w:tcW w:type="dxa" w:w="4680"/>
            <w:shd w:val="clear" w:color="auto" w:fill="FFFFFF"/>
          </w:tcPr>
          <w:p>
            <w:pPr>
              <w:jc w:val="left"/>
            </w:pPr>
            <w:r>
              <w:rPr>
                <w:color w:val="1E293B"/>
                <w:sz w:val="17"/>
              </w:rPr>
              <w:t>Columns After Cleaning (with derived features)</w:t>
            </w:r>
          </w:p>
        </w:tc>
        <w:tc>
          <w:tcPr>
            <w:tcW w:type="dxa" w:w="4680"/>
            <w:shd w:val="clear" w:color="auto" w:fill="FFFFFF"/>
          </w:tcPr>
          <w:p>
            <w:pPr>
              <w:jc w:val="left"/>
            </w:pPr>
            <w:r>
              <w:rPr>
                <w:color w:val="1E293B"/>
                <w:sz w:val="17"/>
              </w:rPr>
              <w:t>36</w:t>
            </w:r>
          </w:p>
        </w:tc>
      </w:tr>
      <w:tr>
        <w:tc>
          <w:tcPr>
            <w:tcW w:type="dxa" w:w="4680"/>
            <w:shd w:val="clear" w:color="auto" w:fill="F8FAFC"/>
          </w:tcPr>
          <w:p>
            <w:pPr>
              <w:jc w:val="left"/>
            </w:pPr>
            <w:r>
              <w:rPr>
                <w:color w:val="1E293B"/>
                <w:sz w:val="17"/>
              </w:rPr>
              <w:t>Duplicate Rows Before</w:t>
            </w:r>
          </w:p>
        </w:tc>
        <w:tc>
          <w:tcPr>
            <w:tcW w:type="dxa" w:w="4680"/>
            <w:shd w:val="clear" w:color="auto" w:fill="F8FAFC"/>
          </w:tcPr>
          <w:p>
            <w:pPr>
              <w:jc w:val="left"/>
            </w:pPr>
            <w:r>
              <w:rPr>
                <w:color w:val="1E293B"/>
                <w:sz w:val="17"/>
              </w:rPr>
              <w:t>0</w:t>
            </w:r>
          </w:p>
        </w:tc>
      </w:tr>
      <w:tr>
        <w:tc>
          <w:tcPr>
            <w:tcW w:type="dxa" w:w="4680"/>
            <w:shd w:val="clear" w:color="auto" w:fill="FFFFFF"/>
          </w:tcPr>
          <w:p>
            <w:pPr>
              <w:jc w:val="left"/>
            </w:pPr>
            <w:r>
              <w:rPr>
                <w:color w:val="1E293B"/>
                <w:sz w:val="17"/>
              </w:rPr>
              <w:t>Duplicate Rows After</w:t>
            </w:r>
          </w:p>
        </w:tc>
        <w:tc>
          <w:tcPr>
            <w:tcW w:type="dxa" w:w="4680"/>
            <w:shd w:val="clear" w:color="auto" w:fill="FFFFFF"/>
          </w:tcPr>
          <w:p>
            <w:pPr>
              <w:jc w:val="left"/>
            </w:pPr>
            <w:r>
              <w:rPr>
                <w:color w:val="1E293B"/>
                <w:sz w:val="17"/>
              </w:rPr>
              <w:t>0</w:t>
            </w:r>
          </w:p>
        </w:tc>
      </w:tr>
      <w:tr>
        <w:tc>
          <w:tcPr>
            <w:tcW w:type="dxa" w:w="4680"/>
            <w:shd w:val="clear" w:color="auto" w:fill="F8FAFC"/>
          </w:tcPr>
          <w:p>
            <w:pPr>
              <w:jc w:val="left"/>
            </w:pPr>
            <w:r>
              <w:rPr>
                <w:color w:val="1E293B"/>
                <w:sz w:val="17"/>
              </w:rPr>
              <w:t>Missing Values Before Cleaning</w:t>
            </w:r>
          </w:p>
        </w:tc>
        <w:tc>
          <w:tcPr>
            <w:tcW w:type="dxa" w:w="4680"/>
            <w:shd w:val="clear" w:color="auto" w:fill="F8FAFC"/>
          </w:tcPr>
          <w:p>
            <w:pPr>
              <w:jc w:val="left"/>
            </w:pPr>
            <w:r>
              <w:rPr>
                <w:color w:val="1E293B"/>
                <w:sz w:val="17"/>
              </w:rPr>
              <w:t>419</w:t>
            </w:r>
          </w:p>
        </w:tc>
      </w:tr>
      <w:tr>
        <w:tc>
          <w:tcPr>
            <w:tcW w:type="dxa" w:w="4680"/>
            <w:shd w:val="clear" w:color="auto" w:fill="FFFFFF"/>
          </w:tcPr>
          <w:p>
            <w:pPr>
              <w:jc w:val="left"/>
            </w:pPr>
            <w:r>
              <w:rPr>
                <w:color w:val="1E293B"/>
                <w:sz w:val="17"/>
              </w:rPr>
              <w:t>Missing Values After Cleaning</w:t>
            </w:r>
          </w:p>
        </w:tc>
        <w:tc>
          <w:tcPr>
            <w:tcW w:type="dxa" w:w="4680"/>
            <w:shd w:val="clear" w:color="auto" w:fill="FFFFFF"/>
          </w:tcPr>
          <w:p>
            <w:pPr>
              <w:jc w:val="left"/>
            </w:pPr>
            <w:r>
              <w:rPr>
                <w:color w:val="1E293B"/>
                <w:sz w:val="17"/>
              </w:rPr>
              <w:t>0</w:t>
            </w:r>
          </w:p>
        </w:tc>
      </w:tr>
      <w:tr>
        <w:tc>
          <w:tcPr>
            <w:tcW w:type="dxa" w:w="4680"/>
            <w:shd w:val="clear" w:color="auto" w:fill="F8FAFC"/>
          </w:tcPr>
          <w:p>
            <w:pPr>
              <w:jc w:val="left"/>
            </w:pPr>
            <w:r>
              <w:rPr>
                <w:color w:val="1E293B"/>
                <w:sz w:val="17"/>
              </w:rPr>
              <w:t>Front Camera MP Imputations</w:t>
            </w:r>
          </w:p>
        </w:tc>
        <w:tc>
          <w:tcPr>
            <w:tcW w:type="dxa" w:w="4680"/>
            <w:shd w:val="clear" w:color="auto" w:fill="F8FAFC"/>
          </w:tcPr>
          <w:p>
            <w:pPr>
              <w:jc w:val="left"/>
            </w:pPr>
            <w:r>
              <w:rPr>
                <w:color w:val="1E293B"/>
                <w:sz w:val="17"/>
              </w:rPr>
              <w:t>5</w:t>
            </w:r>
          </w:p>
        </w:tc>
      </w:tr>
      <w:tr>
        <w:tc>
          <w:tcPr>
            <w:tcW w:type="dxa" w:w="4680"/>
            <w:shd w:val="clear" w:color="auto" w:fill="FFFFFF"/>
          </w:tcPr>
          <w:p>
            <w:pPr>
              <w:jc w:val="left"/>
            </w:pPr>
            <w:r>
              <w:rPr>
                <w:color w:val="1E293B"/>
                <w:sz w:val="17"/>
              </w:rPr>
              <w:t>Memory Card Missing Imputations</w:t>
            </w:r>
          </w:p>
        </w:tc>
        <w:tc>
          <w:tcPr>
            <w:tcW w:type="dxa" w:w="4680"/>
            <w:shd w:val="clear" w:color="auto" w:fill="FFFFFF"/>
          </w:tcPr>
          <w:p>
            <w:pPr>
              <w:jc w:val="left"/>
            </w:pPr>
            <w:r>
              <w:rPr>
                <w:color w:val="1E293B"/>
                <w:sz w:val="17"/>
              </w:rPr>
              <w:t>207</w:t>
            </w:r>
          </w:p>
        </w:tc>
      </w:tr>
      <w:tr>
        <w:tc>
          <w:tcPr>
            <w:tcW w:type="dxa" w:w="4680"/>
            <w:shd w:val="clear" w:color="auto" w:fill="F8FAFC"/>
          </w:tcPr>
          <w:p>
            <w:pPr>
              <w:jc w:val="left"/>
            </w:pPr>
            <w:r>
              <w:rPr>
                <w:color w:val="1E293B"/>
                <w:sz w:val="17"/>
              </w:rPr>
              <w:t>Memory Card Inconsistency Fixes</w:t>
            </w:r>
          </w:p>
        </w:tc>
        <w:tc>
          <w:tcPr>
            <w:tcW w:type="dxa" w:w="4680"/>
            <w:shd w:val="clear" w:color="auto" w:fill="F8FAFC"/>
          </w:tcPr>
          <w:p>
            <w:pPr>
              <w:jc w:val="left"/>
            </w:pPr>
            <w:r>
              <w:rPr>
                <w:color w:val="1E293B"/>
                <w:sz w:val="17"/>
              </w:rPr>
              <w:t>168</w:t>
            </w:r>
          </w:p>
        </w:tc>
      </w:tr>
      <w:tr>
        <w:tc>
          <w:tcPr>
            <w:tcW w:type="dxa" w:w="4680"/>
            <w:shd w:val="clear" w:color="auto" w:fill="FFFFFF"/>
          </w:tcPr>
          <w:p>
            <w:pPr>
              <w:jc w:val="left"/>
            </w:pPr>
            <w:r>
              <w:rPr>
                <w:color w:val="1E293B"/>
                <w:sz w:val="17"/>
              </w:rPr>
              <w:t>Resolution Anomalies Flagged</w:t>
            </w:r>
          </w:p>
        </w:tc>
        <w:tc>
          <w:tcPr>
            <w:tcW w:type="dxa" w:w="4680"/>
            <w:shd w:val="clear" w:color="auto" w:fill="FFFFFF"/>
          </w:tcPr>
          <w:p>
            <w:pPr>
              <w:jc w:val="left"/>
            </w:pPr>
            <w:r>
              <w:rPr>
                <w:color w:val="1E293B"/>
                <w:sz w:val="17"/>
              </w:rPr>
              <w:t>1</w:t>
            </w:r>
          </w:p>
        </w:tc>
      </w:tr>
    </w:tbl>
    <w:p>
      <w:pPr>
        <w:spacing w:after="120"/>
      </w:pPr>
    </w:p>
    <w:p>
      <w:pPr>
        <w:pStyle w:val="Heading1"/>
        <w:keepNext/>
        <w:spacing w:before="240" w:after="80"/>
      </w:pPr>
      <w:r>
        <w:rPr>
          <w:b/>
          <w:color w:val="1E3A8A"/>
          <w:sz w:val="32"/>
        </w:rPr>
        <w:t>9. Exploratory Data Analysis &amp; Price Distribution</w:t>
      </w:r>
    </w:p>
    <w:p>
      <w:r>
        <w:t>Exploratory analysis reveals that smartphone retail pricing in India follows a pronounced log-normal distribution. While raw prices exhibit a high skewness of +3.04 (mean ₹29,424 vs median ₹18,999), log-transformed price reduces skewness to +0.16, fulfilling standard Gaussian assumptions for linear regression modeling.</w:t>
      </w:r>
    </w:p>
    <w:p>
      <w:pPr>
        <w:spacing w:before="160" w:after="40"/>
        <w:jc w:val="center"/>
      </w:pPr>
      <w:r>
        <w:drawing>
          <wp:inline xmlns:a="http://schemas.openxmlformats.org/drawingml/2006/main" xmlns:pic="http://schemas.openxmlformats.org/drawingml/2006/picture">
            <wp:extent cx="5669280" cy="2498107"/>
            <wp:docPr id="2" name="Picture 2"/>
            <wp:cNvGraphicFramePr>
              <a:graphicFrameLocks noChangeAspect="1"/>
            </wp:cNvGraphicFramePr>
            <a:graphic>
              <a:graphicData uri="http://schemas.openxmlformats.org/drawingml/2006/picture">
                <pic:pic>
                  <pic:nvPicPr>
                    <pic:cNvPr id="0" name="01_price_distribution.png"/>
                    <pic:cNvPicPr/>
                  </pic:nvPicPr>
                  <pic:blipFill>
                    <a:blip r:embed="rId10"/>
                    <a:stretch>
                      <a:fillRect/>
                    </a:stretch>
                  </pic:blipFill>
                  <pic:spPr>
                    <a:xfrm>
                      <a:off x="0" y="0"/>
                      <a:ext cx="5669280" cy="2498107"/>
                    </a:xfrm>
                    <a:prstGeom prst="rect"/>
                  </pic:spPr>
                </pic:pic>
              </a:graphicData>
            </a:graphic>
          </wp:inline>
        </w:drawing>
      </w:r>
    </w:p>
    <w:p>
      <w:pPr>
        <w:spacing w:after="200"/>
        <w:jc w:val="center"/>
      </w:pPr>
      <w:r>
        <w:rPr>
          <w:i/>
          <w:color w:val="64748B"/>
          <w:sz w:val="17"/>
        </w:rPr>
        <w:t>Figure 1: Raw vs. Log Price Distribution (N=758)</w:t>
      </w:r>
    </w:p>
    <w:p>
      <w:pPr>
        <w:pStyle w:val="Heading1"/>
        <w:keepNext/>
        <w:spacing w:before="240" w:after="80"/>
      </w:pPr>
      <w:r>
        <w:rPr>
          <w:b/>
          <w:color w:val="1E3A8A"/>
          <w:sz w:val="32"/>
        </w:rPr>
        <w:t>10. KPI Analysis</w:t>
      </w:r>
    </w:p>
    <w:p>
      <w:r>
        <w:t>The verified KPI layer establishes benchmark standards across the entire catalog. The median smartphone features an 8-core CPU, 8GB RAM, 128GB internal storage, a 5,000 mAh battery, a 120Hz display, and 44W fast charging. 5G connectivity is present in 86.68% of models, fast charging in 98.42%, and NFC in 37.20%.</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Pr>
                <w:b/>
                <w:color w:val="FFFFFF"/>
                <w:sz w:val="18"/>
              </w:rPr>
              <w:t>Category</w:t>
            </w:r>
          </w:p>
        </w:tc>
        <w:tc>
          <w:tcPr>
            <w:tcW w:type="dxa" w:w="2340"/>
            <w:shd w:val="clear" w:color="auto" w:fill="1E3A8A"/>
          </w:tcPr>
          <w:p>
            <w:pPr>
              <w:jc w:val="center"/>
            </w:pPr>
            <w:r>
              <w:rPr>
                <w:b/>
                <w:color w:val="FFFFFF"/>
                <w:sz w:val="18"/>
              </w:rPr>
              <w:t>Metric</w:t>
            </w:r>
          </w:p>
        </w:tc>
        <w:tc>
          <w:tcPr>
            <w:tcW w:type="dxa" w:w="2340"/>
            <w:shd w:val="clear" w:color="auto" w:fill="1E3A8A"/>
          </w:tcPr>
          <w:p>
            <w:pPr>
              <w:jc w:val="center"/>
            </w:pPr>
            <w:r>
              <w:rPr>
                <w:b/>
                <w:color w:val="FFFFFF"/>
                <w:sz w:val="18"/>
              </w:rPr>
              <w:t>Value</w:t>
            </w:r>
          </w:p>
        </w:tc>
        <w:tc>
          <w:tcPr>
            <w:tcW w:type="dxa" w:w="2340"/>
            <w:shd w:val="clear" w:color="auto" w:fill="1E3A8A"/>
          </w:tcPr>
          <w:p>
            <w:pPr>
              <w:jc w:val="center"/>
            </w:pPr>
            <w:r>
              <w:rPr>
                <w:b/>
                <w:color w:val="FFFFFF"/>
                <w:sz w:val="18"/>
              </w:rPr>
              <w:t>Unit</w:t>
            </w:r>
          </w:p>
        </w:tc>
      </w:tr>
      <w:tr>
        <w:tc>
          <w:tcPr>
            <w:tcW w:type="dxa" w:w="2340"/>
            <w:shd w:val="clear" w:color="auto" w:fill="FFFFFF"/>
          </w:tcPr>
          <w:p>
            <w:pPr>
              <w:jc w:val="left"/>
            </w:pPr>
            <w:r>
              <w:rPr>
                <w:color w:val="1E293B"/>
                <w:sz w:val="17"/>
              </w:rPr>
              <w:t>Catalog Volume</w:t>
            </w:r>
          </w:p>
        </w:tc>
        <w:tc>
          <w:tcPr>
            <w:tcW w:type="dxa" w:w="2340"/>
            <w:shd w:val="clear" w:color="auto" w:fill="FFFFFF"/>
          </w:tcPr>
          <w:p>
            <w:pPr>
              <w:jc w:val="left"/>
            </w:pPr>
            <w:r>
              <w:rPr>
                <w:color w:val="1E293B"/>
                <w:sz w:val="17"/>
              </w:rPr>
              <w:t>Total Smartphone Models</w:t>
            </w:r>
          </w:p>
        </w:tc>
        <w:tc>
          <w:tcPr>
            <w:tcW w:type="dxa" w:w="2340"/>
            <w:shd w:val="clear" w:color="auto" w:fill="FFFFFF"/>
          </w:tcPr>
          <w:p>
            <w:pPr>
              <w:jc w:val="left"/>
            </w:pPr>
            <w:r>
              <w:rPr>
                <w:color w:val="1E293B"/>
                <w:sz w:val="17"/>
              </w:rPr>
              <w:t>758</w:t>
            </w:r>
          </w:p>
        </w:tc>
        <w:tc>
          <w:tcPr>
            <w:tcW w:type="dxa" w:w="2340"/>
            <w:shd w:val="clear" w:color="auto" w:fill="FFFFFF"/>
          </w:tcPr>
          <w:p>
            <w:pPr>
              <w:jc w:val="left"/>
            </w:pPr>
            <w:r>
              <w:rPr>
                <w:color w:val="1E293B"/>
                <w:sz w:val="17"/>
              </w:rPr>
              <w:t>Models</w:t>
            </w:r>
          </w:p>
        </w:tc>
      </w:tr>
      <w:tr>
        <w:tc>
          <w:tcPr>
            <w:tcW w:type="dxa" w:w="2340"/>
            <w:shd w:val="clear" w:color="auto" w:fill="F8FAFC"/>
          </w:tcPr>
          <w:p>
            <w:pPr>
              <w:jc w:val="left"/>
            </w:pPr>
            <w:r>
              <w:rPr>
                <w:color w:val="1E293B"/>
                <w:sz w:val="17"/>
              </w:rPr>
              <w:t>Catalog Volume</w:t>
            </w:r>
          </w:p>
        </w:tc>
        <w:tc>
          <w:tcPr>
            <w:tcW w:type="dxa" w:w="2340"/>
            <w:shd w:val="clear" w:color="auto" w:fill="F8FAFC"/>
          </w:tcPr>
          <w:p>
            <w:pPr>
              <w:jc w:val="left"/>
            </w:pPr>
            <w:r>
              <w:rPr>
                <w:color w:val="1E293B"/>
                <w:sz w:val="17"/>
              </w:rPr>
              <w:t>Active Smartphone Brands</w:t>
            </w:r>
          </w:p>
        </w:tc>
        <w:tc>
          <w:tcPr>
            <w:tcW w:type="dxa" w:w="2340"/>
            <w:shd w:val="clear" w:color="auto" w:fill="F8FAFC"/>
          </w:tcPr>
          <w:p>
            <w:pPr>
              <w:jc w:val="left"/>
            </w:pPr>
            <w:r>
              <w:rPr>
                <w:color w:val="1E293B"/>
                <w:sz w:val="17"/>
              </w:rPr>
              <w:t>26</w:t>
            </w:r>
          </w:p>
        </w:tc>
        <w:tc>
          <w:tcPr>
            <w:tcW w:type="dxa" w:w="2340"/>
            <w:shd w:val="clear" w:color="auto" w:fill="F8FAFC"/>
          </w:tcPr>
          <w:p>
            <w:pPr>
              <w:jc w:val="left"/>
            </w:pPr>
            <w:r>
              <w:rPr>
                <w:color w:val="1E293B"/>
                <w:sz w:val="17"/>
              </w:rPr>
              <w:t>Brands</w:t>
            </w:r>
          </w:p>
        </w:tc>
      </w:tr>
      <w:tr>
        <w:tc>
          <w:tcPr>
            <w:tcW w:type="dxa" w:w="2340"/>
            <w:shd w:val="clear" w:color="auto" w:fill="FFFFFF"/>
          </w:tcPr>
          <w:p>
            <w:pPr>
              <w:jc w:val="left"/>
            </w:pPr>
            <w:r>
              <w:rPr>
                <w:color w:val="1E293B"/>
                <w:sz w:val="17"/>
              </w:rPr>
              <w:t>Pricing Baseline</w:t>
            </w:r>
          </w:p>
        </w:tc>
        <w:tc>
          <w:tcPr>
            <w:tcW w:type="dxa" w:w="2340"/>
            <w:shd w:val="clear" w:color="auto" w:fill="FFFFFF"/>
          </w:tcPr>
          <w:p>
            <w:pPr>
              <w:jc w:val="left"/>
            </w:pPr>
            <w:r>
              <w:rPr>
                <w:color w:val="1E293B"/>
                <w:sz w:val="17"/>
              </w:rPr>
              <w:t>Median Price</w:t>
            </w:r>
          </w:p>
        </w:tc>
        <w:tc>
          <w:tcPr>
            <w:tcW w:type="dxa" w:w="2340"/>
            <w:shd w:val="clear" w:color="auto" w:fill="FFFFFF"/>
          </w:tcPr>
          <w:p>
            <w:pPr>
              <w:jc w:val="left"/>
            </w:pPr>
            <w:r>
              <w:rPr>
                <w:color w:val="1E293B"/>
                <w:sz w:val="17"/>
              </w:rPr>
              <w:t>₹18,999</w:t>
            </w:r>
          </w:p>
        </w:tc>
        <w:tc>
          <w:tcPr>
            <w:tcW w:type="dxa" w:w="2340"/>
            <w:shd w:val="clear" w:color="auto" w:fill="FFFFFF"/>
          </w:tcPr>
          <w:p>
            <w:pPr>
              <w:jc w:val="left"/>
            </w:pPr>
            <w:r>
              <w:rPr>
                <w:color w:val="1E293B"/>
                <w:sz w:val="17"/>
              </w:rPr>
              <w:t>INR</w:t>
            </w:r>
          </w:p>
        </w:tc>
      </w:tr>
      <w:tr>
        <w:tc>
          <w:tcPr>
            <w:tcW w:type="dxa" w:w="2340"/>
            <w:shd w:val="clear" w:color="auto" w:fill="F8FAFC"/>
          </w:tcPr>
          <w:p>
            <w:pPr>
              <w:jc w:val="left"/>
            </w:pPr>
            <w:r>
              <w:rPr>
                <w:color w:val="1E293B"/>
                <w:sz w:val="17"/>
              </w:rPr>
              <w:t>Pricing Baseline</w:t>
            </w:r>
          </w:p>
        </w:tc>
        <w:tc>
          <w:tcPr>
            <w:tcW w:type="dxa" w:w="2340"/>
            <w:shd w:val="clear" w:color="auto" w:fill="F8FAFC"/>
          </w:tcPr>
          <w:p>
            <w:pPr>
              <w:jc w:val="left"/>
            </w:pPr>
            <w:r>
              <w:rPr>
                <w:color w:val="1E293B"/>
                <w:sz w:val="17"/>
              </w:rPr>
              <w:t>Mean Price</w:t>
            </w:r>
          </w:p>
        </w:tc>
        <w:tc>
          <w:tcPr>
            <w:tcW w:type="dxa" w:w="2340"/>
            <w:shd w:val="clear" w:color="auto" w:fill="F8FAFC"/>
          </w:tcPr>
          <w:p>
            <w:pPr>
              <w:jc w:val="left"/>
            </w:pPr>
            <w:r>
              <w:rPr>
                <w:color w:val="1E293B"/>
                <w:sz w:val="17"/>
              </w:rPr>
              <w:t>₹29,424.09</w:t>
            </w:r>
          </w:p>
        </w:tc>
        <w:tc>
          <w:tcPr>
            <w:tcW w:type="dxa" w:w="2340"/>
            <w:shd w:val="clear" w:color="auto" w:fill="F8FAFC"/>
          </w:tcPr>
          <w:p>
            <w:pPr>
              <w:jc w:val="left"/>
            </w:pPr>
            <w:r>
              <w:rPr>
                <w:color w:val="1E293B"/>
                <w:sz w:val="17"/>
              </w:rPr>
              <w:t>INR</w:t>
            </w:r>
          </w:p>
        </w:tc>
      </w:tr>
      <w:tr>
        <w:tc>
          <w:tcPr>
            <w:tcW w:type="dxa" w:w="2340"/>
            <w:shd w:val="clear" w:color="auto" w:fill="FFFFFF"/>
          </w:tcPr>
          <w:p>
            <w:pPr>
              <w:jc w:val="left"/>
            </w:pPr>
            <w:r>
              <w:rPr>
                <w:color w:val="1E293B"/>
                <w:sz w:val="17"/>
              </w:rPr>
              <w:t>Pricing Baseline</w:t>
            </w:r>
          </w:p>
        </w:tc>
        <w:tc>
          <w:tcPr>
            <w:tcW w:type="dxa" w:w="2340"/>
            <w:shd w:val="clear" w:color="auto" w:fill="FFFFFF"/>
          </w:tcPr>
          <w:p>
            <w:pPr>
              <w:jc w:val="left"/>
            </w:pPr>
            <w:r>
              <w:rPr>
                <w:color w:val="1E293B"/>
                <w:sz w:val="17"/>
              </w:rPr>
              <w:t>Interquartile Range (IQR)</w:t>
            </w:r>
          </w:p>
        </w:tc>
        <w:tc>
          <w:tcPr>
            <w:tcW w:type="dxa" w:w="2340"/>
            <w:shd w:val="clear" w:color="auto" w:fill="FFFFFF"/>
          </w:tcPr>
          <w:p>
            <w:pPr>
              <w:jc w:val="left"/>
            </w:pPr>
            <w:r>
              <w:rPr>
                <w:color w:val="1E293B"/>
                <w:sz w:val="17"/>
              </w:rPr>
              <w:t>₹18,132.75</w:t>
            </w:r>
          </w:p>
        </w:tc>
        <w:tc>
          <w:tcPr>
            <w:tcW w:type="dxa" w:w="2340"/>
            <w:shd w:val="clear" w:color="auto" w:fill="FFFFFF"/>
          </w:tcPr>
          <w:p>
            <w:pPr>
              <w:jc w:val="left"/>
            </w:pPr>
            <w:r>
              <w:rPr>
                <w:color w:val="1E293B"/>
                <w:sz w:val="17"/>
              </w:rPr>
              <w:t>INR</w:t>
            </w:r>
          </w:p>
        </w:tc>
      </w:tr>
      <w:tr>
        <w:tc>
          <w:tcPr>
            <w:tcW w:type="dxa" w:w="2340"/>
            <w:shd w:val="clear" w:color="auto" w:fill="F8FAFC"/>
          </w:tcPr>
          <w:p>
            <w:pPr>
              <w:jc w:val="left"/>
            </w:pPr>
            <w:r>
              <w:rPr>
                <w:color w:val="1E293B"/>
                <w:sz w:val="17"/>
              </w:rPr>
              <w:t>Pricing Baseline</w:t>
            </w:r>
          </w:p>
        </w:tc>
        <w:tc>
          <w:tcPr>
            <w:tcW w:type="dxa" w:w="2340"/>
            <w:shd w:val="clear" w:color="auto" w:fill="F8FAFC"/>
          </w:tcPr>
          <w:p>
            <w:pPr>
              <w:jc w:val="left"/>
            </w:pPr>
            <w:r>
              <w:rPr>
                <w:color w:val="1E293B"/>
                <w:sz w:val="17"/>
              </w:rPr>
              <w:t>Minimum Price</w:t>
            </w:r>
          </w:p>
        </w:tc>
        <w:tc>
          <w:tcPr>
            <w:tcW w:type="dxa" w:w="2340"/>
            <w:shd w:val="clear" w:color="auto" w:fill="F8FAFC"/>
          </w:tcPr>
          <w:p>
            <w:pPr>
              <w:jc w:val="left"/>
            </w:pPr>
            <w:r>
              <w:rPr>
                <w:color w:val="1E293B"/>
                <w:sz w:val="17"/>
              </w:rPr>
              <w:t>₹4,040</w:t>
            </w:r>
          </w:p>
        </w:tc>
        <w:tc>
          <w:tcPr>
            <w:tcW w:type="dxa" w:w="2340"/>
            <w:shd w:val="clear" w:color="auto" w:fill="F8FAFC"/>
          </w:tcPr>
          <w:p>
            <w:pPr>
              <w:jc w:val="left"/>
            </w:pPr>
            <w:r>
              <w:rPr>
                <w:color w:val="1E293B"/>
                <w:sz w:val="17"/>
              </w:rPr>
              <w:t>INR</w:t>
            </w:r>
          </w:p>
        </w:tc>
      </w:tr>
      <w:tr>
        <w:tc>
          <w:tcPr>
            <w:tcW w:type="dxa" w:w="2340"/>
            <w:shd w:val="clear" w:color="auto" w:fill="FFFFFF"/>
          </w:tcPr>
          <w:p>
            <w:pPr>
              <w:jc w:val="left"/>
            </w:pPr>
            <w:r>
              <w:rPr>
                <w:color w:val="1E293B"/>
                <w:sz w:val="17"/>
              </w:rPr>
              <w:t>Pricing Baseline</w:t>
            </w:r>
          </w:p>
        </w:tc>
        <w:tc>
          <w:tcPr>
            <w:tcW w:type="dxa" w:w="2340"/>
            <w:shd w:val="clear" w:color="auto" w:fill="FFFFFF"/>
          </w:tcPr>
          <w:p>
            <w:pPr>
              <w:jc w:val="left"/>
            </w:pPr>
            <w:r>
              <w:rPr>
                <w:color w:val="1E293B"/>
                <w:sz w:val="17"/>
              </w:rPr>
              <w:t>Maximum Price</w:t>
            </w:r>
          </w:p>
        </w:tc>
        <w:tc>
          <w:tcPr>
            <w:tcW w:type="dxa" w:w="2340"/>
            <w:shd w:val="clear" w:color="auto" w:fill="FFFFFF"/>
          </w:tcPr>
          <w:p>
            <w:pPr>
              <w:jc w:val="left"/>
            </w:pPr>
            <w:r>
              <w:rPr>
                <w:color w:val="1E293B"/>
                <w:sz w:val="17"/>
              </w:rPr>
              <w:t>₹229,900</w:t>
            </w:r>
          </w:p>
        </w:tc>
        <w:tc>
          <w:tcPr>
            <w:tcW w:type="dxa" w:w="2340"/>
            <w:shd w:val="clear" w:color="auto" w:fill="FFFFFF"/>
          </w:tcPr>
          <w:p>
            <w:pPr>
              <w:jc w:val="left"/>
            </w:pPr>
            <w:r>
              <w:rPr>
                <w:color w:val="1E293B"/>
                <w:sz w:val="17"/>
              </w:rPr>
              <w:t>INR</w:t>
            </w:r>
          </w:p>
        </w:tc>
      </w:tr>
      <w:tr>
        <w:tc>
          <w:tcPr>
            <w:tcW w:type="dxa" w:w="2340"/>
            <w:shd w:val="clear" w:color="auto" w:fill="F8FAFC"/>
          </w:tcPr>
          <w:p>
            <w:pPr>
              <w:jc w:val="left"/>
            </w:pPr>
            <w:r>
              <w:rPr>
                <w:color w:val="1E293B"/>
                <w:sz w:val="17"/>
              </w:rPr>
              <w:t>Technical Benchmark</w:t>
            </w:r>
          </w:p>
        </w:tc>
        <w:tc>
          <w:tcPr>
            <w:tcW w:type="dxa" w:w="2340"/>
            <w:shd w:val="clear" w:color="auto" w:fill="F8FAFC"/>
          </w:tcPr>
          <w:p>
            <w:pPr>
              <w:jc w:val="left"/>
            </w:pPr>
            <w:r>
              <w:rPr>
                <w:color w:val="1E293B"/>
                <w:sz w:val="17"/>
              </w:rPr>
              <w:t>Median Spec Rating Score</w:t>
            </w:r>
          </w:p>
        </w:tc>
        <w:tc>
          <w:tcPr>
            <w:tcW w:type="dxa" w:w="2340"/>
            <w:shd w:val="clear" w:color="auto" w:fill="F8FAFC"/>
          </w:tcPr>
          <w:p>
            <w:pPr>
              <w:jc w:val="left"/>
            </w:pPr>
            <w:r>
              <w:rPr>
                <w:color w:val="1E293B"/>
                <w:sz w:val="17"/>
              </w:rPr>
              <w:t>80.0</w:t>
            </w:r>
          </w:p>
        </w:tc>
        <w:tc>
          <w:tcPr>
            <w:tcW w:type="dxa" w:w="2340"/>
            <w:shd w:val="clear" w:color="auto" w:fill="F8FAFC"/>
          </w:tcPr>
          <w:p>
            <w:pPr>
              <w:jc w:val="left"/>
            </w:pPr>
            <w:r>
              <w:rPr>
                <w:color w:val="1E293B"/>
                <w:sz w:val="17"/>
              </w:rPr>
              <w:t>Points (0-100)</w:t>
            </w:r>
          </w:p>
        </w:tc>
      </w:tr>
      <w:tr>
        <w:tc>
          <w:tcPr>
            <w:tcW w:type="dxa" w:w="2340"/>
            <w:shd w:val="clear" w:color="auto" w:fill="FFFFFF"/>
          </w:tcPr>
          <w:p>
            <w:pPr>
              <w:jc w:val="left"/>
            </w:pPr>
            <w:r>
              <w:rPr>
                <w:color w:val="1E293B"/>
                <w:sz w:val="17"/>
              </w:rPr>
              <w:t>Technical Benchmark</w:t>
            </w:r>
          </w:p>
        </w:tc>
        <w:tc>
          <w:tcPr>
            <w:tcW w:type="dxa" w:w="2340"/>
            <w:shd w:val="clear" w:color="auto" w:fill="FFFFFF"/>
          </w:tcPr>
          <w:p>
            <w:pPr>
              <w:jc w:val="left"/>
            </w:pPr>
            <w:r>
              <w:rPr>
                <w:color w:val="1E293B"/>
                <w:sz w:val="17"/>
              </w:rPr>
              <w:t>Mean Spec Rating Score</w:t>
            </w:r>
          </w:p>
        </w:tc>
        <w:tc>
          <w:tcPr>
            <w:tcW w:type="dxa" w:w="2340"/>
            <w:shd w:val="clear" w:color="auto" w:fill="FFFFFF"/>
          </w:tcPr>
          <w:p>
            <w:pPr>
              <w:jc w:val="left"/>
            </w:pPr>
            <w:r>
              <w:rPr>
                <w:color w:val="1E293B"/>
                <w:sz w:val="17"/>
              </w:rPr>
              <w:t>78.59</w:t>
            </w:r>
          </w:p>
        </w:tc>
        <w:tc>
          <w:tcPr>
            <w:tcW w:type="dxa" w:w="2340"/>
            <w:shd w:val="clear" w:color="auto" w:fill="FFFFFF"/>
          </w:tcPr>
          <w:p>
            <w:pPr>
              <w:jc w:val="left"/>
            </w:pPr>
            <w:r>
              <w:rPr>
                <w:color w:val="1E293B"/>
                <w:sz w:val="17"/>
              </w:rPr>
              <w:t>Points (0-100)</w:t>
            </w:r>
          </w:p>
        </w:tc>
      </w:tr>
      <w:tr>
        <w:tc>
          <w:tcPr>
            <w:tcW w:type="dxa" w:w="2340"/>
            <w:shd w:val="clear" w:color="auto" w:fill="F8FAFC"/>
          </w:tcPr>
          <w:p>
            <w:pPr>
              <w:jc w:val="left"/>
            </w:pPr>
            <w:r>
              <w:rPr>
                <w:color w:val="1E293B"/>
                <w:sz w:val="17"/>
              </w:rPr>
              <w:t>Connectivity Baseline</w:t>
            </w:r>
          </w:p>
        </w:tc>
        <w:tc>
          <w:tcPr>
            <w:tcW w:type="dxa" w:w="2340"/>
            <w:shd w:val="clear" w:color="auto" w:fill="F8FAFC"/>
          </w:tcPr>
          <w:p>
            <w:pPr>
              <w:jc w:val="left"/>
            </w:pPr>
            <w:r>
              <w:rPr>
                <w:color w:val="1E293B"/>
                <w:sz w:val="17"/>
              </w:rPr>
              <w:t>5G Cellular Penetration</w:t>
            </w:r>
          </w:p>
        </w:tc>
        <w:tc>
          <w:tcPr>
            <w:tcW w:type="dxa" w:w="2340"/>
            <w:shd w:val="clear" w:color="auto" w:fill="F8FAFC"/>
          </w:tcPr>
          <w:p>
            <w:pPr>
              <w:jc w:val="left"/>
            </w:pPr>
            <w:r>
              <w:rPr>
                <w:color w:val="1E293B"/>
                <w:sz w:val="17"/>
              </w:rPr>
              <w:t>86.68%</w:t>
            </w:r>
          </w:p>
        </w:tc>
        <w:tc>
          <w:tcPr>
            <w:tcW w:type="dxa" w:w="2340"/>
            <w:shd w:val="clear" w:color="auto" w:fill="F8FAFC"/>
          </w:tcPr>
          <w:p>
            <w:pPr>
              <w:jc w:val="left"/>
            </w:pPr>
            <w:r>
              <w:rPr>
                <w:color w:val="1E293B"/>
                <w:sz w:val="17"/>
              </w:rPr>
              <w:t>Percentage</w:t>
            </w:r>
          </w:p>
        </w:tc>
      </w:tr>
      <w:tr>
        <w:tc>
          <w:tcPr>
            <w:tcW w:type="dxa" w:w="2340"/>
            <w:shd w:val="clear" w:color="auto" w:fill="FFFFFF"/>
          </w:tcPr>
          <w:p>
            <w:pPr>
              <w:jc w:val="left"/>
            </w:pPr>
            <w:r>
              <w:rPr>
                <w:color w:val="1E293B"/>
                <w:sz w:val="17"/>
              </w:rPr>
              <w:t>Connectivity Baseline</w:t>
            </w:r>
          </w:p>
        </w:tc>
        <w:tc>
          <w:tcPr>
            <w:tcW w:type="dxa" w:w="2340"/>
            <w:shd w:val="clear" w:color="auto" w:fill="FFFFFF"/>
          </w:tcPr>
          <w:p>
            <w:pPr>
              <w:jc w:val="left"/>
            </w:pPr>
            <w:r>
              <w:rPr>
                <w:color w:val="1E293B"/>
                <w:sz w:val="17"/>
              </w:rPr>
              <w:t>NFC Penetration</w:t>
            </w:r>
          </w:p>
        </w:tc>
        <w:tc>
          <w:tcPr>
            <w:tcW w:type="dxa" w:w="2340"/>
            <w:shd w:val="clear" w:color="auto" w:fill="FFFFFF"/>
          </w:tcPr>
          <w:p>
            <w:pPr>
              <w:jc w:val="left"/>
            </w:pPr>
            <w:r>
              <w:rPr>
                <w:color w:val="1E293B"/>
                <w:sz w:val="17"/>
              </w:rPr>
              <w:t>37.20%</w:t>
            </w:r>
          </w:p>
        </w:tc>
        <w:tc>
          <w:tcPr>
            <w:tcW w:type="dxa" w:w="2340"/>
            <w:shd w:val="clear" w:color="auto" w:fill="FFFFFF"/>
          </w:tcPr>
          <w:p>
            <w:pPr>
              <w:jc w:val="left"/>
            </w:pPr>
            <w:r>
              <w:rPr>
                <w:color w:val="1E293B"/>
                <w:sz w:val="17"/>
              </w:rPr>
              <w:t>Percentage</w:t>
            </w:r>
          </w:p>
        </w:tc>
      </w:tr>
      <w:tr>
        <w:tc>
          <w:tcPr>
            <w:tcW w:type="dxa" w:w="2340"/>
            <w:shd w:val="clear" w:color="auto" w:fill="F8FAFC"/>
          </w:tcPr>
          <w:p>
            <w:pPr>
              <w:jc w:val="left"/>
            </w:pPr>
            <w:r>
              <w:rPr>
                <w:color w:val="1E293B"/>
                <w:sz w:val="17"/>
              </w:rPr>
              <w:t>Charging Baseline</w:t>
            </w:r>
          </w:p>
        </w:tc>
        <w:tc>
          <w:tcPr>
            <w:tcW w:type="dxa" w:w="2340"/>
            <w:shd w:val="clear" w:color="auto" w:fill="F8FAFC"/>
          </w:tcPr>
          <w:p>
            <w:pPr>
              <w:jc w:val="left"/>
            </w:pPr>
            <w:r>
              <w:rPr>
                <w:color w:val="1E293B"/>
                <w:sz w:val="17"/>
              </w:rPr>
              <w:t>Fast Charging Penetration</w:t>
            </w:r>
          </w:p>
        </w:tc>
        <w:tc>
          <w:tcPr>
            <w:tcW w:type="dxa" w:w="2340"/>
            <w:shd w:val="clear" w:color="auto" w:fill="F8FAFC"/>
          </w:tcPr>
          <w:p>
            <w:pPr>
              <w:jc w:val="left"/>
            </w:pPr>
            <w:r>
              <w:rPr>
                <w:color w:val="1E293B"/>
                <w:sz w:val="17"/>
              </w:rPr>
              <w:t>98.42%</w:t>
            </w:r>
          </w:p>
        </w:tc>
        <w:tc>
          <w:tcPr>
            <w:tcW w:type="dxa" w:w="2340"/>
            <w:shd w:val="clear" w:color="auto" w:fill="F8FAFC"/>
          </w:tcPr>
          <w:p>
            <w:pPr>
              <w:jc w:val="left"/>
            </w:pPr>
            <w:r>
              <w:rPr>
                <w:color w:val="1E293B"/>
                <w:sz w:val="17"/>
              </w:rPr>
              <w:t>Percentage</w:t>
            </w:r>
          </w:p>
        </w:tc>
      </w:tr>
      <w:tr>
        <w:tc>
          <w:tcPr>
            <w:tcW w:type="dxa" w:w="2340"/>
            <w:shd w:val="clear" w:color="auto" w:fill="FFFFFF"/>
          </w:tcPr>
          <w:p>
            <w:pPr>
              <w:jc w:val="left"/>
            </w:pPr>
            <w:r>
              <w:rPr>
                <w:color w:val="1E293B"/>
                <w:sz w:val="17"/>
              </w:rPr>
              <w:t>Charging Baseline</w:t>
            </w:r>
          </w:p>
        </w:tc>
        <w:tc>
          <w:tcPr>
            <w:tcW w:type="dxa" w:w="2340"/>
            <w:shd w:val="clear" w:color="auto" w:fill="FFFFFF"/>
          </w:tcPr>
          <w:p>
            <w:pPr>
              <w:jc w:val="left"/>
            </w:pPr>
            <w:r>
              <w:rPr>
                <w:color w:val="1E293B"/>
                <w:sz w:val="17"/>
              </w:rPr>
              <w:t>Median Charging Speed</w:t>
            </w:r>
          </w:p>
        </w:tc>
        <w:tc>
          <w:tcPr>
            <w:tcW w:type="dxa" w:w="2340"/>
            <w:shd w:val="clear" w:color="auto" w:fill="FFFFFF"/>
          </w:tcPr>
          <w:p>
            <w:pPr>
              <w:jc w:val="left"/>
            </w:pPr>
            <w:r>
              <w:rPr>
                <w:color w:val="1E293B"/>
                <w:sz w:val="17"/>
              </w:rPr>
              <w:t>44W</w:t>
            </w:r>
          </w:p>
        </w:tc>
        <w:tc>
          <w:tcPr>
            <w:tcW w:type="dxa" w:w="2340"/>
            <w:shd w:val="clear" w:color="auto" w:fill="FFFFFF"/>
          </w:tcPr>
          <w:p>
            <w:pPr>
              <w:jc w:val="left"/>
            </w:pPr>
            <w:r>
              <w:rPr>
                <w:color w:val="1E293B"/>
                <w:sz w:val="17"/>
              </w:rPr>
              <w:t>Watts</w:t>
            </w:r>
          </w:p>
        </w:tc>
      </w:tr>
      <w:tr>
        <w:tc>
          <w:tcPr>
            <w:tcW w:type="dxa" w:w="2340"/>
            <w:shd w:val="clear" w:color="auto" w:fill="F8FAFC"/>
          </w:tcPr>
          <w:p>
            <w:pPr>
              <w:jc w:val="left"/>
            </w:pPr>
            <w:r>
              <w:rPr>
                <w:color w:val="1E293B"/>
                <w:sz w:val="17"/>
              </w:rPr>
              <w:t>Hardware Standards</w:t>
            </w:r>
          </w:p>
        </w:tc>
        <w:tc>
          <w:tcPr>
            <w:tcW w:type="dxa" w:w="2340"/>
            <w:shd w:val="clear" w:color="auto" w:fill="F8FAFC"/>
          </w:tcPr>
          <w:p>
            <w:pPr>
              <w:jc w:val="left"/>
            </w:pPr>
            <w:r>
              <w:rPr>
                <w:color w:val="1E293B"/>
                <w:sz w:val="17"/>
              </w:rPr>
              <w:t>Median System RAM</w:t>
            </w:r>
          </w:p>
        </w:tc>
        <w:tc>
          <w:tcPr>
            <w:tcW w:type="dxa" w:w="2340"/>
            <w:shd w:val="clear" w:color="auto" w:fill="F8FAFC"/>
          </w:tcPr>
          <w:p>
            <w:pPr>
              <w:jc w:val="left"/>
            </w:pPr>
            <w:r>
              <w:rPr>
                <w:color w:val="1E293B"/>
                <w:sz w:val="17"/>
              </w:rPr>
              <w:t>8 GB</w:t>
            </w:r>
          </w:p>
        </w:tc>
        <w:tc>
          <w:tcPr>
            <w:tcW w:type="dxa" w:w="2340"/>
            <w:shd w:val="clear" w:color="auto" w:fill="F8FAFC"/>
          </w:tcPr>
          <w:p>
            <w:pPr>
              <w:jc w:val="left"/>
            </w:pPr>
            <w:r>
              <w:rPr>
                <w:color w:val="1E293B"/>
                <w:sz w:val="17"/>
              </w:rPr>
              <w:t>Gigabytes</w:t>
            </w:r>
          </w:p>
        </w:tc>
      </w:tr>
      <w:tr>
        <w:tc>
          <w:tcPr>
            <w:tcW w:type="dxa" w:w="2340"/>
            <w:shd w:val="clear" w:color="auto" w:fill="FFFFFF"/>
          </w:tcPr>
          <w:p>
            <w:pPr>
              <w:jc w:val="left"/>
            </w:pPr>
            <w:r>
              <w:rPr>
                <w:color w:val="1E293B"/>
                <w:sz w:val="17"/>
              </w:rPr>
              <w:t>Hardware Standards</w:t>
            </w:r>
          </w:p>
        </w:tc>
        <w:tc>
          <w:tcPr>
            <w:tcW w:type="dxa" w:w="2340"/>
            <w:shd w:val="clear" w:color="auto" w:fill="FFFFFF"/>
          </w:tcPr>
          <w:p>
            <w:pPr>
              <w:jc w:val="left"/>
            </w:pPr>
            <w:r>
              <w:rPr>
                <w:color w:val="1E293B"/>
                <w:sz w:val="17"/>
              </w:rPr>
              <w:t>Median Internal Storage</w:t>
            </w:r>
          </w:p>
        </w:tc>
        <w:tc>
          <w:tcPr>
            <w:tcW w:type="dxa" w:w="2340"/>
            <w:shd w:val="clear" w:color="auto" w:fill="FFFFFF"/>
          </w:tcPr>
          <w:p>
            <w:pPr>
              <w:jc w:val="left"/>
            </w:pPr>
            <w:r>
              <w:rPr>
                <w:color w:val="1E293B"/>
                <w:sz w:val="17"/>
              </w:rPr>
              <w:t>128 GB</w:t>
            </w:r>
          </w:p>
        </w:tc>
        <w:tc>
          <w:tcPr>
            <w:tcW w:type="dxa" w:w="2340"/>
            <w:shd w:val="clear" w:color="auto" w:fill="FFFFFF"/>
          </w:tcPr>
          <w:p>
            <w:pPr>
              <w:jc w:val="left"/>
            </w:pPr>
            <w:r>
              <w:rPr>
                <w:color w:val="1E293B"/>
                <w:sz w:val="17"/>
              </w:rPr>
              <w:t>Gigabytes</w:t>
            </w:r>
          </w:p>
        </w:tc>
      </w:tr>
    </w:tbl>
    <w:p>
      <w:pPr>
        <w:spacing w:after="120"/>
      </w:pPr>
    </w:p>
    <w:p>
      <w:pPr>
        <w:pStyle w:val="Heading1"/>
        <w:keepNext/>
        <w:spacing w:before="240" w:after="80"/>
      </w:pPr>
      <w:r>
        <w:rPr>
          <w:b/>
          <w:color w:val="1E3A8A"/>
          <w:sz w:val="32"/>
        </w:rPr>
        <w:t>11. Market Structure Analysis</w:t>
      </w:r>
    </w:p>
    <w:p>
      <w:r>
        <w:t>Catalog SKU breadth is concentrated among three major OEMs: Realme (134 models, 17.7%), Samsung (104 models, 13.7%), and Vivo (94 models, 12.4%), representing 43.8% of the market. MediaTek dominates silicon volume with 51.2% (388 models, anchored by the Dimensity 6300 SoC), while Qualcomm Snapdragon holds 28.9% (median price ₹29,999). Apple (28 models) and Google Tensor (11 models) compete exclusively in premium brackets.</w:t>
      </w:r>
    </w:p>
    <w:p>
      <w:pPr>
        <w:spacing w:before="160" w:after="40"/>
        <w:jc w:val="center"/>
      </w:pPr>
      <w:r>
        <w:drawing>
          <wp:inline xmlns:a="http://schemas.openxmlformats.org/drawingml/2006/main" xmlns:pic="http://schemas.openxmlformats.org/drawingml/2006/picture">
            <wp:extent cx="5669280" cy="2983743"/>
            <wp:docPr id="3" name="Picture 3"/>
            <wp:cNvGraphicFramePr>
              <a:graphicFrameLocks noChangeAspect="1"/>
            </wp:cNvGraphicFramePr>
            <a:graphic>
              <a:graphicData uri="http://schemas.openxmlformats.org/drawingml/2006/picture">
                <pic:pic>
                  <pic:nvPicPr>
                    <pic:cNvPr id="0" name="02_brand_catalog_density.png"/>
                    <pic:cNvPicPr/>
                  </pic:nvPicPr>
                  <pic:blipFill>
                    <a:blip r:embed="rId11"/>
                    <a:stretch>
                      <a:fillRect/>
                    </a:stretch>
                  </pic:blipFill>
                  <pic:spPr>
                    <a:xfrm>
                      <a:off x="0" y="0"/>
                      <a:ext cx="5669280" cy="2983743"/>
                    </a:xfrm>
                    <a:prstGeom prst="rect"/>
                  </pic:spPr>
                </pic:pic>
              </a:graphicData>
            </a:graphic>
          </wp:inline>
        </w:drawing>
      </w:r>
    </w:p>
    <w:p>
      <w:pPr>
        <w:spacing w:after="200"/>
        <w:jc w:val="center"/>
      </w:pPr>
      <w:r>
        <w:rPr>
          <w:i/>
          <w:color w:val="64748B"/>
          <w:sz w:val="17"/>
        </w:rPr>
        <w:t>Figure 2: Top Brands Catalog Density and Spec Ratings</w:t>
      </w:r>
    </w:p>
    <w:p>
      <w:pPr>
        <w:spacing w:before="160" w:after="40"/>
        <w:jc w:val="center"/>
      </w:pPr>
      <w:r>
        <w:drawing>
          <wp:inline xmlns:a="http://schemas.openxmlformats.org/drawingml/2006/main" xmlns:pic="http://schemas.openxmlformats.org/drawingml/2006/picture">
            <wp:extent cx="5669280" cy="2520406"/>
            <wp:docPr id="4" name="Picture 4"/>
            <wp:cNvGraphicFramePr>
              <a:graphicFrameLocks noChangeAspect="1"/>
            </wp:cNvGraphicFramePr>
            <a:graphic>
              <a:graphicData uri="http://schemas.openxmlformats.org/drawingml/2006/picture">
                <pic:pic>
                  <pic:nvPicPr>
                    <pic:cNvPr id="0" name="03_processor_brand_share.png"/>
                    <pic:cNvPicPr/>
                  </pic:nvPicPr>
                  <pic:blipFill>
                    <a:blip r:embed="rId12"/>
                    <a:stretch>
                      <a:fillRect/>
                    </a:stretch>
                  </pic:blipFill>
                  <pic:spPr>
                    <a:xfrm>
                      <a:off x="0" y="0"/>
                      <a:ext cx="5669280" cy="2520406"/>
                    </a:xfrm>
                    <a:prstGeom prst="rect"/>
                  </pic:spPr>
                </pic:pic>
              </a:graphicData>
            </a:graphic>
          </wp:inline>
        </w:drawing>
      </w:r>
    </w:p>
    <w:p>
      <w:pPr>
        <w:spacing w:after="200"/>
        <w:jc w:val="center"/>
      </w:pPr>
      <w:r>
        <w:rPr>
          <w:i/>
          <w:color w:val="64748B"/>
          <w:sz w:val="17"/>
        </w:rPr>
        <w:t>Figure 3: Silicon Provider Catalog Share and Median Pricing</w:t>
      </w:r>
    </w:p>
    <w:p>
      <w:pPr>
        <w:pStyle w:val="Heading1"/>
        <w:keepNext/>
        <w:spacing w:before="240" w:after="80"/>
      </w:pPr>
      <w:r>
        <w:rPr>
          <w:b/>
          <w:color w:val="1E3A8A"/>
          <w:sz w:val="32"/>
        </w:rPr>
        <w:t>12. Price-Tier Analysis</w:t>
      </w:r>
    </w:p>
    <w:p>
      <w:r>
        <w:t>The catalog was segmented into 5 grounded price brackets: Budget (&lt;₹10k, 131 models), Lower-Mid (₹10k–₹20k, 277 models), Mid-Range (₹20k–₹35k, 201 models), Upper-Mid (₹35k–₹60k, 73 models), and Premium/Flagship (&gt;=₹60k, 76 models). Specifications escalate predictably: RAM doubles from 4GB in Budget to 8GB in Mid-Range and 12GB in Flagships; charging wattage jumps from 18W to 67W–80W; 5G adoption reaches 96.0% in Lower-Mid and 100% above ₹20,000.</w:t>
      </w:r>
    </w:p>
    <w:p>
      <w:pPr>
        <w:spacing w:before="160" w:after="40"/>
        <w:jc w:val="center"/>
      </w:pPr>
      <w:r>
        <w:drawing>
          <wp:inline xmlns:a="http://schemas.openxmlformats.org/drawingml/2006/main" xmlns:pic="http://schemas.openxmlformats.org/drawingml/2006/picture">
            <wp:extent cx="5669280" cy="3433225"/>
            <wp:docPr id="5" name="Picture 5"/>
            <wp:cNvGraphicFramePr>
              <a:graphicFrameLocks noChangeAspect="1"/>
            </wp:cNvGraphicFramePr>
            <a:graphic>
              <a:graphicData uri="http://schemas.openxmlformats.org/drawingml/2006/picture">
                <pic:pic>
                  <pic:nvPicPr>
                    <pic:cNvPr id="0" name="04_price_tier_distribution.png"/>
                    <pic:cNvPicPr/>
                  </pic:nvPicPr>
                  <pic:blipFill>
                    <a:blip r:embed="rId13"/>
                    <a:stretch>
                      <a:fillRect/>
                    </a:stretch>
                  </pic:blipFill>
                  <pic:spPr>
                    <a:xfrm>
                      <a:off x="0" y="0"/>
                      <a:ext cx="5669280" cy="3433225"/>
                    </a:xfrm>
                    <a:prstGeom prst="rect"/>
                  </pic:spPr>
                </pic:pic>
              </a:graphicData>
            </a:graphic>
          </wp:inline>
        </w:drawing>
      </w:r>
    </w:p>
    <w:p>
      <w:pPr>
        <w:spacing w:after="200"/>
        <w:jc w:val="center"/>
      </w:pPr>
      <w:r>
        <w:rPr>
          <w:i/>
          <w:color w:val="64748B"/>
          <w:sz w:val="17"/>
        </w:rPr>
        <w:t>Figure 4: Model Distribution Across Grounded Price Tiers</w:t>
      </w:r>
    </w:p>
    <w:p>
      <w:pPr>
        <w:spacing w:before="160" w:after="40"/>
        <w:jc w:val="center"/>
      </w:pPr>
      <w:r>
        <w:drawing>
          <wp:inline xmlns:a="http://schemas.openxmlformats.org/drawingml/2006/main" xmlns:pic="http://schemas.openxmlformats.org/drawingml/2006/picture">
            <wp:extent cx="5669280" cy="4173468"/>
            <wp:docPr id="6" name="Picture 6"/>
            <wp:cNvGraphicFramePr>
              <a:graphicFrameLocks noChangeAspect="1"/>
            </wp:cNvGraphicFramePr>
            <a:graphic>
              <a:graphicData uri="http://schemas.openxmlformats.org/drawingml/2006/picture">
                <pic:pic>
                  <pic:nvPicPr>
                    <pic:cNvPr id="0" name="05_specs_by_price_tier.png"/>
                    <pic:cNvPicPr/>
                  </pic:nvPicPr>
                  <pic:blipFill>
                    <a:blip r:embed="rId14"/>
                    <a:stretch>
                      <a:fillRect/>
                    </a:stretch>
                  </pic:blipFill>
                  <pic:spPr>
                    <a:xfrm>
                      <a:off x="0" y="0"/>
                      <a:ext cx="5669280" cy="4173468"/>
                    </a:xfrm>
                    <a:prstGeom prst="rect"/>
                  </pic:spPr>
                </pic:pic>
              </a:graphicData>
            </a:graphic>
          </wp:inline>
        </w:drawing>
      </w:r>
    </w:p>
    <w:p>
      <w:pPr>
        <w:spacing w:after="200"/>
        <w:jc w:val="center"/>
      </w:pPr>
      <w:r>
        <w:rPr>
          <w:i/>
          <w:color w:val="64748B"/>
          <w:sz w:val="17"/>
        </w:rPr>
        <w:t>Figure 5: Hardware Progression Across Price Tiers</w:t>
      </w:r>
    </w:p>
    <w:p>
      <w:pPr>
        <w:spacing w:before="160" w:after="40"/>
        <w:jc w:val="center"/>
      </w:pPr>
      <w:r>
        <w:drawing>
          <wp:inline xmlns:a="http://schemas.openxmlformats.org/drawingml/2006/main" xmlns:pic="http://schemas.openxmlformats.org/drawingml/2006/picture">
            <wp:extent cx="5669280" cy="3301462"/>
            <wp:docPr id="7" name="Picture 7"/>
            <wp:cNvGraphicFramePr>
              <a:graphicFrameLocks noChangeAspect="1"/>
            </wp:cNvGraphicFramePr>
            <a:graphic>
              <a:graphicData uri="http://schemas.openxmlformats.org/drawingml/2006/picture">
                <pic:pic>
                  <pic:nvPicPr>
                    <pic:cNvPr id="0" name="06_connectivity_adoption_by_tier.png"/>
                    <pic:cNvPicPr/>
                  </pic:nvPicPr>
                  <pic:blipFill>
                    <a:blip r:embed="rId15"/>
                    <a:stretch>
                      <a:fillRect/>
                    </a:stretch>
                  </pic:blipFill>
                  <pic:spPr>
                    <a:xfrm>
                      <a:off x="0" y="0"/>
                      <a:ext cx="5669280" cy="3301462"/>
                    </a:xfrm>
                    <a:prstGeom prst="rect"/>
                  </pic:spPr>
                </pic:pic>
              </a:graphicData>
            </a:graphic>
          </wp:inline>
        </w:drawing>
      </w:r>
    </w:p>
    <w:p>
      <w:pPr>
        <w:spacing w:after="200"/>
        <w:jc w:val="center"/>
      </w:pPr>
      <w:r>
        <w:rPr>
          <w:i/>
          <w:color w:val="64748B"/>
          <w:sz w:val="17"/>
        </w:rPr>
        <w:t>Figure 6: 5G and NFC Gatekeeping by Price Tier</w:t>
      </w:r>
    </w:p>
    <w:tbl>
      <w:tblPr>
        <w:tblW w:type="auto" w:w="0"/>
        <w:jc w:val="center"/>
        <w:tblLayout w:type="fixed"/>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shd w:val="clear" w:color="auto" w:fill="1E3A8A"/>
          </w:tcPr>
          <w:p>
            <w:pPr>
              <w:jc w:val="center"/>
            </w:pPr>
            <w:r>
              <w:rPr>
                <w:b/>
                <w:color w:val="FFFFFF"/>
                <w:sz w:val="18"/>
              </w:rPr>
              <w:t>price_tier</w:t>
            </w:r>
          </w:p>
        </w:tc>
        <w:tc>
          <w:tcPr>
            <w:tcW w:type="dxa" w:w="551"/>
            <w:shd w:val="clear" w:color="auto" w:fill="1E3A8A"/>
          </w:tcPr>
          <w:p>
            <w:pPr>
              <w:jc w:val="center"/>
            </w:pPr>
            <w:r>
              <w:rPr>
                <w:b/>
                <w:color w:val="FFFFFF"/>
                <w:sz w:val="18"/>
              </w:rPr>
              <w:t>model_count</w:t>
            </w:r>
          </w:p>
        </w:tc>
        <w:tc>
          <w:tcPr>
            <w:tcW w:type="dxa" w:w="551"/>
            <w:shd w:val="clear" w:color="auto" w:fill="1E3A8A"/>
          </w:tcPr>
          <w:p>
            <w:pPr>
              <w:jc w:val="center"/>
            </w:pPr>
            <w:r>
              <w:rPr>
                <w:b/>
                <w:color w:val="FFFFFF"/>
                <w:sz w:val="18"/>
              </w:rPr>
              <w:t>min_price</w:t>
            </w:r>
          </w:p>
        </w:tc>
        <w:tc>
          <w:tcPr>
            <w:tcW w:type="dxa" w:w="551"/>
            <w:shd w:val="clear" w:color="auto" w:fill="1E3A8A"/>
          </w:tcPr>
          <w:p>
            <w:pPr>
              <w:jc w:val="center"/>
            </w:pPr>
            <w:r>
              <w:rPr>
                <w:b/>
                <w:color w:val="FFFFFF"/>
                <w:sz w:val="18"/>
              </w:rPr>
              <w:t>median_price</w:t>
            </w:r>
          </w:p>
        </w:tc>
        <w:tc>
          <w:tcPr>
            <w:tcW w:type="dxa" w:w="551"/>
            <w:shd w:val="clear" w:color="auto" w:fill="1E3A8A"/>
          </w:tcPr>
          <w:p>
            <w:pPr>
              <w:jc w:val="center"/>
            </w:pPr>
            <w:r>
              <w:rPr>
                <w:b/>
                <w:color w:val="FFFFFF"/>
                <w:sz w:val="18"/>
              </w:rPr>
              <w:t>max_price</w:t>
            </w:r>
          </w:p>
        </w:tc>
        <w:tc>
          <w:tcPr>
            <w:tcW w:type="dxa" w:w="551"/>
            <w:shd w:val="clear" w:color="auto" w:fill="1E3A8A"/>
          </w:tcPr>
          <w:p>
            <w:pPr>
              <w:jc w:val="center"/>
            </w:pPr>
            <w:r>
              <w:rPr>
                <w:b/>
                <w:color w:val="FFFFFF"/>
                <w:sz w:val="18"/>
              </w:rPr>
              <w:t>mean_rating</w:t>
            </w:r>
          </w:p>
        </w:tc>
        <w:tc>
          <w:tcPr>
            <w:tcW w:type="dxa" w:w="551"/>
            <w:shd w:val="clear" w:color="auto" w:fill="1E3A8A"/>
          </w:tcPr>
          <w:p>
            <w:pPr>
              <w:jc w:val="center"/>
            </w:pPr>
            <w:r>
              <w:rPr>
                <w:b/>
                <w:color w:val="FFFFFF"/>
                <w:sz w:val="18"/>
              </w:rPr>
              <w:t>median_rating</w:t>
            </w:r>
          </w:p>
        </w:tc>
        <w:tc>
          <w:tcPr>
            <w:tcW w:type="dxa" w:w="551"/>
            <w:shd w:val="clear" w:color="auto" w:fill="1E3A8A"/>
          </w:tcPr>
          <w:p>
            <w:pPr>
              <w:jc w:val="center"/>
            </w:pPr>
            <w:r>
              <w:rPr>
                <w:b/>
                <w:color w:val="FFFFFF"/>
                <w:sz w:val="18"/>
              </w:rPr>
              <w:t>median_ram</w:t>
            </w:r>
          </w:p>
        </w:tc>
        <w:tc>
          <w:tcPr>
            <w:tcW w:type="dxa" w:w="551"/>
            <w:shd w:val="clear" w:color="auto" w:fill="1E3A8A"/>
          </w:tcPr>
          <w:p>
            <w:pPr>
              <w:jc w:val="center"/>
            </w:pPr>
            <w:r>
              <w:rPr>
                <w:b/>
                <w:color w:val="FFFFFF"/>
                <w:sz w:val="18"/>
              </w:rPr>
              <w:t>median_storage</w:t>
            </w:r>
          </w:p>
        </w:tc>
        <w:tc>
          <w:tcPr>
            <w:tcW w:type="dxa" w:w="551"/>
            <w:shd w:val="clear" w:color="auto" w:fill="1E3A8A"/>
          </w:tcPr>
          <w:p>
            <w:pPr>
              <w:jc w:val="center"/>
            </w:pPr>
            <w:r>
              <w:rPr>
                <w:b/>
                <w:color w:val="FFFFFF"/>
                <w:sz w:val="18"/>
              </w:rPr>
              <w:t>median_battery</w:t>
            </w:r>
          </w:p>
        </w:tc>
        <w:tc>
          <w:tcPr>
            <w:tcW w:type="dxa" w:w="551"/>
            <w:shd w:val="clear" w:color="auto" w:fill="1E3A8A"/>
          </w:tcPr>
          <w:p>
            <w:pPr>
              <w:jc w:val="center"/>
            </w:pPr>
            <w:r>
              <w:rPr>
                <w:b/>
                <w:color w:val="FFFFFF"/>
                <w:sz w:val="18"/>
              </w:rPr>
              <w:t>median_watt</w:t>
            </w:r>
          </w:p>
        </w:tc>
        <w:tc>
          <w:tcPr>
            <w:tcW w:type="dxa" w:w="551"/>
            <w:shd w:val="clear" w:color="auto" w:fill="1E3A8A"/>
          </w:tcPr>
          <w:p>
            <w:pPr>
              <w:jc w:val="center"/>
            </w:pPr>
            <w:r>
              <w:rPr>
                <w:b/>
                <w:color w:val="FFFFFF"/>
                <w:sz w:val="18"/>
              </w:rPr>
              <w:t>median_refresh</w:t>
            </w:r>
          </w:p>
        </w:tc>
        <w:tc>
          <w:tcPr>
            <w:tcW w:type="dxa" w:w="551"/>
            <w:shd w:val="clear" w:color="auto" w:fill="1E3A8A"/>
          </w:tcPr>
          <w:p>
            <w:pPr>
              <w:jc w:val="center"/>
            </w:pPr>
            <w:r>
              <w:rPr>
                <w:b/>
                <w:color w:val="FFFFFF"/>
                <w:sz w:val="18"/>
              </w:rPr>
              <w:t>pct_5g</w:t>
            </w:r>
          </w:p>
        </w:tc>
        <w:tc>
          <w:tcPr>
            <w:tcW w:type="dxa" w:w="551"/>
            <w:shd w:val="clear" w:color="auto" w:fill="1E3A8A"/>
          </w:tcPr>
          <w:p>
            <w:pPr>
              <w:jc w:val="center"/>
            </w:pPr>
            <w:r>
              <w:rPr>
                <w:b/>
                <w:color w:val="FFFFFF"/>
                <w:sz w:val="18"/>
              </w:rPr>
              <w:t>pct_nfc</w:t>
            </w:r>
          </w:p>
        </w:tc>
        <w:tc>
          <w:tcPr>
            <w:tcW w:type="dxa" w:w="551"/>
            <w:shd w:val="clear" w:color="auto" w:fill="1E3A8A"/>
          </w:tcPr>
          <w:p>
            <w:pPr>
              <w:jc w:val="center"/>
            </w:pPr>
            <w:r>
              <w:rPr>
                <w:b/>
                <w:color w:val="FFFFFF"/>
                <w:sz w:val="18"/>
              </w:rPr>
              <w:t>pct_fast_charge</w:t>
            </w:r>
          </w:p>
        </w:tc>
        <w:tc>
          <w:tcPr>
            <w:tcW w:type="dxa" w:w="551"/>
            <w:shd w:val="clear" w:color="auto" w:fill="1E3A8A"/>
          </w:tcPr>
          <w:p>
            <w:pPr>
              <w:jc w:val="center"/>
            </w:pPr>
            <w:r>
              <w:rPr>
                <w:b/>
                <w:color w:val="FFFFFF"/>
                <w:sz w:val="18"/>
              </w:rPr>
              <w:t>pct_high_refresh</w:t>
            </w:r>
          </w:p>
        </w:tc>
        <w:tc>
          <w:tcPr>
            <w:tcW w:type="dxa" w:w="551"/>
            <w:shd w:val="clear" w:color="auto" w:fill="1E3A8A"/>
          </w:tcPr>
          <w:p>
            <w:pPr>
              <w:jc w:val="center"/>
            </w:pPr>
            <w:r>
              <w:rPr>
                <w:b/>
                <w:color w:val="FFFFFF"/>
                <w:sz w:val="18"/>
              </w:rPr>
              <w:t>catalog_share_pct</w:t>
            </w:r>
          </w:p>
        </w:tc>
      </w:tr>
      <w:tr>
        <w:tc>
          <w:tcPr>
            <w:tcW w:type="dxa" w:w="551"/>
            <w:shd w:val="clear" w:color="auto" w:fill="FFFFFF"/>
          </w:tcPr>
          <w:p>
            <w:pPr>
              <w:jc w:val="left"/>
            </w:pPr>
            <w:r>
              <w:rPr>
                <w:color w:val="1E293B"/>
                <w:sz w:val="17"/>
              </w:rPr>
              <w:t>Budget (&lt;10k)</w:t>
            </w:r>
          </w:p>
        </w:tc>
        <w:tc>
          <w:tcPr>
            <w:tcW w:type="dxa" w:w="551"/>
            <w:shd w:val="clear" w:color="auto" w:fill="FFFFFF"/>
          </w:tcPr>
          <w:p>
            <w:pPr>
              <w:jc w:val="left"/>
            </w:pPr>
            <w:r>
              <w:rPr>
                <w:color w:val="1E293B"/>
                <w:sz w:val="17"/>
              </w:rPr>
              <w:t>131</w:t>
            </w:r>
          </w:p>
        </w:tc>
        <w:tc>
          <w:tcPr>
            <w:tcW w:type="dxa" w:w="551"/>
            <w:shd w:val="clear" w:color="auto" w:fill="FFFFFF"/>
          </w:tcPr>
          <w:p>
            <w:pPr>
              <w:jc w:val="left"/>
            </w:pPr>
            <w:r>
              <w:rPr>
                <w:color w:val="1E293B"/>
                <w:sz w:val="17"/>
              </w:rPr>
              <w:t>4040</w:t>
            </w:r>
          </w:p>
        </w:tc>
        <w:tc>
          <w:tcPr>
            <w:tcW w:type="dxa" w:w="551"/>
            <w:shd w:val="clear" w:color="auto" w:fill="FFFFFF"/>
          </w:tcPr>
          <w:p>
            <w:pPr>
              <w:jc w:val="left"/>
            </w:pPr>
            <w:r>
              <w:rPr>
                <w:color w:val="1E293B"/>
                <w:sz w:val="17"/>
              </w:rPr>
              <w:t>7999.0</w:t>
            </w:r>
          </w:p>
        </w:tc>
        <w:tc>
          <w:tcPr>
            <w:tcW w:type="dxa" w:w="551"/>
            <w:shd w:val="clear" w:color="auto" w:fill="FFFFFF"/>
          </w:tcPr>
          <w:p>
            <w:pPr>
              <w:jc w:val="left"/>
            </w:pPr>
            <w:r>
              <w:rPr>
                <w:color w:val="1E293B"/>
                <w:sz w:val="17"/>
              </w:rPr>
              <w:t>9999</w:t>
            </w:r>
          </w:p>
        </w:tc>
        <w:tc>
          <w:tcPr>
            <w:tcW w:type="dxa" w:w="551"/>
            <w:shd w:val="clear" w:color="auto" w:fill="FFFFFF"/>
          </w:tcPr>
          <w:p>
            <w:pPr>
              <w:jc w:val="left"/>
            </w:pPr>
            <w:r>
              <w:rPr>
                <w:color w:val="1E293B"/>
                <w:sz w:val="17"/>
              </w:rPr>
              <w:t>66.0</w:t>
            </w:r>
          </w:p>
        </w:tc>
        <w:tc>
          <w:tcPr>
            <w:tcW w:type="dxa" w:w="551"/>
            <w:shd w:val="clear" w:color="auto" w:fill="FFFFFF"/>
          </w:tcPr>
          <w:p>
            <w:pPr>
              <w:jc w:val="left"/>
            </w:pPr>
            <w:r>
              <w:rPr>
                <w:color w:val="1E293B"/>
                <w:sz w:val="17"/>
              </w:rPr>
              <w:t>68.0</w:t>
            </w:r>
          </w:p>
        </w:tc>
        <w:tc>
          <w:tcPr>
            <w:tcW w:type="dxa" w:w="551"/>
            <w:shd w:val="clear" w:color="auto" w:fill="FFFFFF"/>
          </w:tcPr>
          <w:p>
            <w:pPr>
              <w:jc w:val="left"/>
            </w:pPr>
            <w:r>
              <w:rPr>
                <w:color w:val="1E293B"/>
                <w:sz w:val="17"/>
              </w:rPr>
              <w:t>4.0</w:t>
            </w:r>
          </w:p>
        </w:tc>
        <w:tc>
          <w:tcPr>
            <w:tcW w:type="dxa" w:w="551"/>
            <w:shd w:val="clear" w:color="auto" w:fill="FFFFFF"/>
          </w:tcPr>
          <w:p>
            <w:pPr>
              <w:jc w:val="left"/>
            </w:pPr>
            <w:r>
              <w:rPr>
                <w:color w:val="1E293B"/>
                <w:sz w:val="17"/>
              </w:rPr>
              <w:t>128.0</w:t>
            </w:r>
          </w:p>
        </w:tc>
        <w:tc>
          <w:tcPr>
            <w:tcW w:type="dxa" w:w="551"/>
            <w:shd w:val="clear" w:color="auto" w:fill="FFFFFF"/>
          </w:tcPr>
          <w:p>
            <w:pPr>
              <w:jc w:val="left"/>
            </w:pPr>
            <w:r>
              <w:rPr>
                <w:color w:val="1E293B"/>
                <w:sz w:val="17"/>
              </w:rPr>
              <w:t>5000.0</w:t>
            </w:r>
          </w:p>
        </w:tc>
        <w:tc>
          <w:tcPr>
            <w:tcW w:type="dxa" w:w="551"/>
            <w:shd w:val="clear" w:color="auto" w:fill="FFFFFF"/>
          </w:tcPr>
          <w:p>
            <w:pPr>
              <w:jc w:val="left"/>
            </w:pPr>
            <w:r>
              <w:rPr>
                <w:color w:val="1E293B"/>
                <w:sz w:val="17"/>
              </w:rPr>
              <w:t>18.0</w:t>
            </w:r>
          </w:p>
        </w:tc>
        <w:tc>
          <w:tcPr>
            <w:tcW w:type="dxa" w:w="551"/>
            <w:shd w:val="clear" w:color="auto" w:fill="FFFFFF"/>
          </w:tcPr>
          <w:p>
            <w:pPr>
              <w:jc w:val="left"/>
            </w:pPr>
            <w:r>
              <w:rPr>
                <w:color w:val="1E293B"/>
                <w:sz w:val="17"/>
              </w:rPr>
              <w:t>90.0</w:t>
            </w:r>
          </w:p>
        </w:tc>
        <w:tc>
          <w:tcPr>
            <w:tcW w:type="dxa" w:w="551"/>
            <w:shd w:val="clear" w:color="auto" w:fill="FFFFFF"/>
          </w:tcPr>
          <w:p>
            <w:pPr>
              <w:jc w:val="left"/>
            </w:pPr>
            <w:r>
              <w:rPr>
                <w:color w:val="1E293B"/>
                <w:sz w:val="17"/>
              </w:rPr>
              <w:t>31.3</w:t>
            </w:r>
          </w:p>
        </w:tc>
        <w:tc>
          <w:tcPr>
            <w:tcW w:type="dxa" w:w="551"/>
            <w:shd w:val="clear" w:color="auto" w:fill="FFFFFF"/>
          </w:tcPr>
          <w:p>
            <w:pPr>
              <w:jc w:val="left"/>
            </w:pPr>
            <w:r>
              <w:rPr>
                <w:color w:val="1E293B"/>
                <w:sz w:val="17"/>
              </w:rPr>
              <w:t>5.3</w:t>
            </w:r>
          </w:p>
        </w:tc>
        <w:tc>
          <w:tcPr>
            <w:tcW w:type="dxa" w:w="551"/>
            <w:shd w:val="clear" w:color="auto" w:fill="FFFFFF"/>
          </w:tcPr>
          <w:p>
            <w:pPr>
              <w:jc w:val="left"/>
            </w:pPr>
            <w:r>
              <w:rPr>
                <w:color w:val="1E293B"/>
                <w:sz w:val="17"/>
              </w:rPr>
              <w:t>93.9</w:t>
            </w:r>
          </w:p>
        </w:tc>
        <w:tc>
          <w:tcPr>
            <w:tcW w:type="dxa" w:w="551"/>
            <w:shd w:val="clear" w:color="auto" w:fill="FFFFFF"/>
          </w:tcPr>
          <w:p>
            <w:pPr>
              <w:jc w:val="left"/>
            </w:pPr>
            <w:r>
              <w:rPr>
                <w:color w:val="1E293B"/>
                <w:sz w:val="17"/>
              </w:rPr>
              <w:t>31.3</w:t>
            </w:r>
          </w:p>
        </w:tc>
        <w:tc>
          <w:tcPr>
            <w:tcW w:type="dxa" w:w="551"/>
            <w:shd w:val="clear" w:color="auto" w:fill="FFFFFF"/>
          </w:tcPr>
          <w:p>
            <w:pPr>
              <w:jc w:val="left"/>
            </w:pPr>
            <w:r>
              <w:rPr>
                <w:color w:val="1E293B"/>
                <w:sz w:val="17"/>
              </w:rPr>
              <w:t>17.28</w:t>
            </w:r>
          </w:p>
        </w:tc>
      </w:tr>
      <w:tr>
        <w:tc>
          <w:tcPr>
            <w:tcW w:type="dxa" w:w="551"/>
            <w:shd w:val="clear" w:color="auto" w:fill="F8FAFC"/>
          </w:tcPr>
          <w:p>
            <w:pPr>
              <w:jc w:val="left"/>
            </w:pPr>
            <w:r>
              <w:rPr>
                <w:color w:val="1E293B"/>
                <w:sz w:val="17"/>
              </w:rPr>
              <w:t>Lower-Mid (10k-20k)</w:t>
            </w:r>
          </w:p>
        </w:tc>
        <w:tc>
          <w:tcPr>
            <w:tcW w:type="dxa" w:w="551"/>
            <w:shd w:val="clear" w:color="auto" w:fill="F8FAFC"/>
          </w:tcPr>
          <w:p>
            <w:pPr>
              <w:jc w:val="left"/>
            </w:pPr>
            <w:r>
              <w:rPr>
                <w:color w:val="1E293B"/>
                <w:sz w:val="17"/>
              </w:rPr>
              <w:t>277</w:t>
            </w:r>
          </w:p>
        </w:tc>
        <w:tc>
          <w:tcPr>
            <w:tcW w:type="dxa" w:w="551"/>
            <w:shd w:val="clear" w:color="auto" w:fill="F8FAFC"/>
          </w:tcPr>
          <w:p>
            <w:pPr>
              <w:jc w:val="left"/>
            </w:pPr>
            <w:r>
              <w:rPr>
                <w:color w:val="1E293B"/>
                <w:sz w:val="17"/>
              </w:rPr>
              <w:t>10079</w:t>
            </w:r>
          </w:p>
        </w:tc>
        <w:tc>
          <w:tcPr>
            <w:tcW w:type="dxa" w:w="551"/>
            <w:shd w:val="clear" w:color="auto" w:fill="F8FAFC"/>
          </w:tcPr>
          <w:p>
            <w:pPr>
              <w:jc w:val="left"/>
            </w:pPr>
            <w:r>
              <w:rPr>
                <w:color w:val="1E293B"/>
                <w:sz w:val="17"/>
              </w:rPr>
              <w:t>14499.0</w:t>
            </w:r>
          </w:p>
        </w:tc>
        <w:tc>
          <w:tcPr>
            <w:tcW w:type="dxa" w:w="551"/>
            <w:shd w:val="clear" w:color="auto" w:fill="F8FAFC"/>
          </w:tcPr>
          <w:p>
            <w:pPr>
              <w:jc w:val="left"/>
            </w:pPr>
            <w:r>
              <w:rPr>
                <w:color w:val="1E293B"/>
                <w:sz w:val="17"/>
              </w:rPr>
              <w:t>19999</w:t>
            </w:r>
          </w:p>
        </w:tc>
        <w:tc>
          <w:tcPr>
            <w:tcW w:type="dxa" w:w="551"/>
            <w:shd w:val="clear" w:color="auto" w:fill="F8FAFC"/>
          </w:tcPr>
          <w:p>
            <w:pPr>
              <w:jc w:val="left"/>
            </w:pPr>
            <w:r>
              <w:rPr>
                <w:color w:val="1E293B"/>
                <w:sz w:val="17"/>
              </w:rPr>
              <w:t>77.0</w:t>
            </w:r>
          </w:p>
        </w:tc>
        <w:tc>
          <w:tcPr>
            <w:tcW w:type="dxa" w:w="551"/>
            <w:shd w:val="clear" w:color="auto" w:fill="F8FAFC"/>
          </w:tcPr>
          <w:p>
            <w:pPr>
              <w:jc w:val="left"/>
            </w:pPr>
            <w:r>
              <w:rPr>
                <w:color w:val="1E293B"/>
                <w:sz w:val="17"/>
              </w:rPr>
              <w:t>78.0</w:t>
            </w:r>
          </w:p>
        </w:tc>
        <w:tc>
          <w:tcPr>
            <w:tcW w:type="dxa" w:w="551"/>
            <w:shd w:val="clear" w:color="auto" w:fill="F8FAFC"/>
          </w:tcPr>
          <w:p>
            <w:pPr>
              <w:jc w:val="left"/>
            </w:pPr>
            <w:r>
              <w:rPr>
                <w:color w:val="1E293B"/>
                <w:sz w:val="17"/>
              </w:rPr>
              <w:t>8.0</w:t>
            </w:r>
          </w:p>
        </w:tc>
        <w:tc>
          <w:tcPr>
            <w:tcW w:type="dxa" w:w="551"/>
            <w:shd w:val="clear" w:color="auto" w:fill="F8FAFC"/>
          </w:tcPr>
          <w:p>
            <w:pPr>
              <w:jc w:val="left"/>
            </w:pPr>
            <w:r>
              <w:rPr>
                <w:color w:val="1E293B"/>
                <w:sz w:val="17"/>
              </w:rPr>
              <w:t>128.0</w:t>
            </w:r>
          </w:p>
        </w:tc>
        <w:tc>
          <w:tcPr>
            <w:tcW w:type="dxa" w:w="551"/>
            <w:shd w:val="clear" w:color="auto" w:fill="F8FAFC"/>
          </w:tcPr>
          <w:p>
            <w:pPr>
              <w:jc w:val="left"/>
            </w:pPr>
            <w:r>
              <w:rPr>
                <w:color w:val="1E293B"/>
                <w:sz w:val="17"/>
              </w:rPr>
              <w:t>5000.0</w:t>
            </w:r>
          </w:p>
        </w:tc>
        <w:tc>
          <w:tcPr>
            <w:tcW w:type="dxa" w:w="551"/>
            <w:shd w:val="clear" w:color="auto" w:fill="F8FAFC"/>
          </w:tcPr>
          <w:p>
            <w:pPr>
              <w:jc w:val="left"/>
            </w:pPr>
            <w:r>
              <w:rPr>
                <w:color w:val="1E293B"/>
                <w:sz w:val="17"/>
              </w:rPr>
              <w:t>33.0</w:t>
            </w:r>
          </w:p>
        </w:tc>
        <w:tc>
          <w:tcPr>
            <w:tcW w:type="dxa" w:w="551"/>
            <w:shd w:val="clear" w:color="auto" w:fill="F8FAFC"/>
          </w:tcPr>
          <w:p>
            <w:pPr>
              <w:jc w:val="left"/>
            </w:pPr>
            <w:r>
              <w:rPr>
                <w:color w:val="1E293B"/>
                <w:sz w:val="17"/>
              </w:rPr>
              <w:t>120.0</w:t>
            </w:r>
          </w:p>
        </w:tc>
        <w:tc>
          <w:tcPr>
            <w:tcW w:type="dxa" w:w="551"/>
            <w:shd w:val="clear" w:color="auto" w:fill="F8FAFC"/>
          </w:tcPr>
          <w:p>
            <w:pPr>
              <w:jc w:val="left"/>
            </w:pPr>
            <w:r>
              <w:rPr>
                <w:color w:val="1E293B"/>
                <w:sz w:val="17"/>
              </w:rPr>
              <w:t>96.0</w:t>
            </w:r>
          </w:p>
        </w:tc>
        <w:tc>
          <w:tcPr>
            <w:tcW w:type="dxa" w:w="551"/>
            <w:shd w:val="clear" w:color="auto" w:fill="F8FAFC"/>
          </w:tcPr>
          <w:p>
            <w:pPr>
              <w:jc w:val="left"/>
            </w:pPr>
            <w:r>
              <w:rPr>
                <w:color w:val="1E293B"/>
                <w:sz w:val="17"/>
              </w:rPr>
              <w:t>20.9</w:t>
            </w:r>
          </w:p>
        </w:tc>
        <w:tc>
          <w:tcPr>
            <w:tcW w:type="dxa" w:w="551"/>
            <w:shd w:val="clear" w:color="auto" w:fill="F8FAFC"/>
          </w:tcPr>
          <w:p>
            <w:pPr>
              <w:jc w:val="left"/>
            </w:pPr>
            <w:r>
              <w:rPr>
                <w:color w:val="1E293B"/>
                <w:sz w:val="17"/>
              </w:rPr>
              <w:t>98.6</w:t>
            </w:r>
          </w:p>
        </w:tc>
        <w:tc>
          <w:tcPr>
            <w:tcW w:type="dxa" w:w="551"/>
            <w:shd w:val="clear" w:color="auto" w:fill="F8FAFC"/>
          </w:tcPr>
          <w:p>
            <w:pPr>
              <w:jc w:val="left"/>
            </w:pPr>
            <w:r>
              <w:rPr>
                <w:color w:val="1E293B"/>
                <w:sz w:val="17"/>
              </w:rPr>
              <w:t>76.9</w:t>
            </w:r>
          </w:p>
        </w:tc>
        <w:tc>
          <w:tcPr>
            <w:tcW w:type="dxa" w:w="551"/>
            <w:shd w:val="clear" w:color="auto" w:fill="F8FAFC"/>
          </w:tcPr>
          <w:p>
            <w:pPr>
              <w:jc w:val="left"/>
            </w:pPr>
            <w:r>
              <w:rPr>
                <w:color w:val="1E293B"/>
                <w:sz w:val="17"/>
              </w:rPr>
              <w:t>36.54</w:t>
            </w:r>
          </w:p>
        </w:tc>
      </w:tr>
      <w:tr>
        <w:tc>
          <w:tcPr>
            <w:tcW w:type="dxa" w:w="551"/>
            <w:shd w:val="clear" w:color="auto" w:fill="FFFFFF"/>
          </w:tcPr>
          <w:p>
            <w:pPr>
              <w:jc w:val="left"/>
            </w:pPr>
            <w:r>
              <w:rPr>
                <w:color w:val="1E293B"/>
                <w:sz w:val="17"/>
              </w:rPr>
              <w:t>Mid-Range (20k-35k)</w:t>
            </w:r>
          </w:p>
        </w:tc>
        <w:tc>
          <w:tcPr>
            <w:tcW w:type="dxa" w:w="551"/>
            <w:shd w:val="clear" w:color="auto" w:fill="FFFFFF"/>
          </w:tcPr>
          <w:p>
            <w:pPr>
              <w:jc w:val="left"/>
            </w:pPr>
            <w:r>
              <w:rPr>
                <w:color w:val="1E293B"/>
                <w:sz w:val="17"/>
              </w:rPr>
              <w:t>201</w:t>
            </w:r>
          </w:p>
        </w:tc>
        <w:tc>
          <w:tcPr>
            <w:tcW w:type="dxa" w:w="551"/>
            <w:shd w:val="clear" w:color="auto" w:fill="FFFFFF"/>
          </w:tcPr>
          <w:p>
            <w:pPr>
              <w:jc w:val="left"/>
            </w:pPr>
            <w:r>
              <w:rPr>
                <w:color w:val="1E293B"/>
                <w:sz w:val="17"/>
              </w:rPr>
              <w:t>20329</w:t>
            </w:r>
          </w:p>
        </w:tc>
        <w:tc>
          <w:tcPr>
            <w:tcW w:type="dxa" w:w="551"/>
            <w:shd w:val="clear" w:color="auto" w:fill="FFFFFF"/>
          </w:tcPr>
          <w:p>
            <w:pPr>
              <w:jc w:val="left"/>
            </w:pPr>
            <w:r>
              <w:rPr>
                <w:color w:val="1E293B"/>
                <w:sz w:val="17"/>
              </w:rPr>
              <w:t>24999.0</w:t>
            </w:r>
          </w:p>
        </w:tc>
        <w:tc>
          <w:tcPr>
            <w:tcW w:type="dxa" w:w="551"/>
            <w:shd w:val="clear" w:color="auto" w:fill="FFFFFF"/>
          </w:tcPr>
          <w:p>
            <w:pPr>
              <w:jc w:val="left"/>
            </w:pPr>
            <w:r>
              <w:rPr>
                <w:color w:val="1E293B"/>
                <w:sz w:val="17"/>
              </w:rPr>
              <w:t>34999</w:t>
            </w:r>
          </w:p>
        </w:tc>
        <w:tc>
          <w:tcPr>
            <w:tcW w:type="dxa" w:w="551"/>
            <w:shd w:val="clear" w:color="auto" w:fill="FFFFFF"/>
          </w:tcPr>
          <w:p>
            <w:pPr>
              <w:jc w:val="left"/>
            </w:pPr>
            <w:r>
              <w:rPr>
                <w:color w:val="1E293B"/>
                <w:sz w:val="17"/>
              </w:rPr>
              <w:t>82.6</w:t>
            </w:r>
          </w:p>
        </w:tc>
        <w:tc>
          <w:tcPr>
            <w:tcW w:type="dxa" w:w="551"/>
            <w:shd w:val="clear" w:color="auto" w:fill="FFFFFF"/>
          </w:tcPr>
          <w:p>
            <w:pPr>
              <w:jc w:val="left"/>
            </w:pPr>
            <w:r>
              <w:rPr>
                <w:color w:val="1E293B"/>
                <w:sz w:val="17"/>
              </w:rPr>
              <w:t>83.0</w:t>
            </w:r>
          </w:p>
        </w:tc>
        <w:tc>
          <w:tcPr>
            <w:tcW w:type="dxa" w:w="551"/>
            <w:shd w:val="clear" w:color="auto" w:fill="FFFFFF"/>
          </w:tcPr>
          <w:p>
            <w:pPr>
              <w:jc w:val="left"/>
            </w:pPr>
            <w:r>
              <w:rPr>
                <w:color w:val="1E293B"/>
                <w:sz w:val="17"/>
              </w:rPr>
              <w:t>8.0</w:t>
            </w:r>
          </w:p>
        </w:tc>
        <w:tc>
          <w:tcPr>
            <w:tcW w:type="dxa" w:w="551"/>
            <w:shd w:val="clear" w:color="auto" w:fill="FFFFFF"/>
          </w:tcPr>
          <w:p>
            <w:pPr>
              <w:jc w:val="left"/>
            </w:pPr>
            <w:r>
              <w:rPr>
                <w:color w:val="1E293B"/>
                <w:sz w:val="17"/>
              </w:rPr>
              <w:t>256.0</w:t>
            </w:r>
          </w:p>
        </w:tc>
        <w:tc>
          <w:tcPr>
            <w:tcW w:type="dxa" w:w="551"/>
            <w:shd w:val="clear" w:color="auto" w:fill="FFFFFF"/>
          </w:tcPr>
          <w:p>
            <w:pPr>
              <w:jc w:val="left"/>
            </w:pPr>
            <w:r>
              <w:rPr>
                <w:color w:val="1E293B"/>
                <w:sz w:val="17"/>
              </w:rPr>
              <w:t>5500.0</w:t>
            </w:r>
          </w:p>
        </w:tc>
        <w:tc>
          <w:tcPr>
            <w:tcW w:type="dxa" w:w="551"/>
            <w:shd w:val="clear" w:color="auto" w:fill="FFFFFF"/>
          </w:tcPr>
          <w:p>
            <w:pPr>
              <w:jc w:val="left"/>
            </w:pPr>
            <w:r>
              <w:rPr>
                <w:color w:val="1E293B"/>
                <w:sz w:val="17"/>
              </w:rPr>
              <w:t>80.0</w:t>
            </w:r>
          </w:p>
        </w:tc>
        <w:tc>
          <w:tcPr>
            <w:tcW w:type="dxa" w:w="551"/>
            <w:shd w:val="clear" w:color="auto" w:fill="FFFFFF"/>
          </w:tcPr>
          <w:p>
            <w:pPr>
              <w:jc w:val="left"/>
            </w:pPr>
            <w:r>
              <w:rPr>
                <w:color w:val="1E293B"/>
                <w:sz w:val="17"/>
              </w:rPr>
              <w:t>120.0</w:t>
            </w:r>
          </w:p>
        </w:tc>
        <w:tc>
          <w:tcPr>
            <w:tcW w:type="dxa" w:w="551"/>
            <w:shd w:val="clear" w:color="auto" w:fill="FFFFFF"/>
          </w:tcPr>
          <w:p>
            <w:pPr>
              <w:jc w:val="left"/>
            </w:pPr>
            <w:r>
              <w:rPr>
                <w:color w:val="1E293B"/>
                <w:sz w:val="17"/>
              </w:rPr>
              <w:t>100.0</w:t>
            </w:r>
          </w:p>
        </w:tc>
        <w:tc>
          <w:tcPr>
            <w:tcW w:type="dxa" w:w="551"/>
            <w:shd w:val="clear" w:color="auto" w:fill="FFFFFF"/>
          </w:tcPr>
          <w:p>
            <w:pPr>
              <w:jc w:val="left"/>
            </w:pPr>
            <w:r>
              <w:rPr>
                <w:color w:val="1E293B"/>
                <w:sz w:val="17"/>
              </w:rPr>
              <w:t>40.8</w:t>
            </w:r>
          </w:p>
        </w:tc>
        <w:tc>
          <w:tcPr>
            <w:tcW w:type="dxa" w:w="551"/>
            <w:shd w:val="clear" w:color="auto" w:fill="FFFFFF"/>
          </w:tcPr>
          <w:p>
            <w:pPr>
              <w:jc w:val="left"/>
            </w:pPr>
            <w:r>
              <w:rPr>
                <w:color w:val="1E293B"/>
                <w:sz w:val="17"/>
              </w:rPr>
              <w:t>100.0</w:t>
            </w:r>
          </w:p>
        </w:tc>
        <w:tc>
          <w:tcPr>
            <w:tcW w:type="dxa" w:w="551"/>
            <w:shd w:val="clear" w:color="auto" w:fill="FFFFFF"/>
          </w:tcPr>
          <w:p>
            <w:pPr>
              <w:jc w:val="left"/>
            </w:pPr>
            <w:r>
              <w:rPr>
                <w:color w:val="1E293B"/>
                <w:sz w:val="17"/>
              </w:rPr>
              <w:t>98.5</w:t>
            </w:r>
          </w:p>
        </w:tc>
        <w:tc>
          <w:tcPr>
            <w:tcW w:type="dxa" w:w="551"/>
            <w:shd w:val="clear" w:color="auto" w:fill="FFFFFF"/>
          </w:tcPr>
          <w:p>
            <w:pPr>
              <w:jc w:val="left"/>
            </w:pPr>
            <w:r>
              <w:rPr>
                <w:color w:val="1E293B"/>
                <w:sz w:val="17"/>
              </w:rPr>
              <w:t>26.52</w:t>
            </w:r>
          </w:p>
        </w:tc>
      </w:tr>
      <w:tr>
        <w:tc>
          <w:tcPr>
            <w:tcW w:type="dxa" w:w="551"/>
            <w:shd w:val="clear" w:color="auto" w:fill="F8FAFC"/>
          </w:tcPr>
          <w:p>
            <w:pPr>
              <w:jc w:val="left"/>
            </w:pPr>
            <w:r>
              <w:rPr>
                <w:color w:val="1E293B"/>
                <w:sz w:val="17"/>
              </w:rPr>
              <w:t>Premium (&gt;=60k)</w:t>
            </w:r>
          </w:p>
        </w:tc>
        <w:tc>
          <w:tcPr>
            <w:tcW w:type="dxa" w:w="551"/>
            <w:shd w:val="clear" w:color="auto" w:fill="F8FAFC"/>
          </w:tcPr>
          <w:p>
            <w:pPr>
              <w:jc w:val="left"/>
            </w:pPr>
            <w:r>
              <w:rPr>
                <w:color w:val="1E293B"/>
                <w:sz w:val="17"/>
              </w:rPr>
              <w:t>76</w:t>
            </w:r>
          </w:p>
        </w:tc>
        <w:tc>
          <w:tcPr>
            <w:tcW w:type="dxa" w:w="551"/>
            <w:shd w:val="clear" w:color="auto" w:fill="F8FAFC"/>
          </w:tcPr>
          <w:p>
            <w:pPr>
              <w:jc w:val="left"/>
            </w:pPr>
            <w:r>
              <w:rPr>
                <w:color w:val="1E293B"/>
                <w:sz w:val="17"/>
              </w:rPr>
              <w:t>61499</w:t>
            </w:r>
          </w:p>
        </w:tc>
        <w:tc>
          <w:tcPr>
            <w:tcW w:type="dxa" w:w="551"/>
            <w:shd w:val="clear" w:color="auto" w:fill="F8FAFC"/>
          </w:tcPr>
          <w:p>
            <w:pPr>
              <w:jc w:val="left"/>
            </w:pPr>
            <w:r>
              <w:rPr>
                <w:color w:val="1E293B"/>
                <w:sz w:val="17"/>
              </w:rPr>
              <w:t>97499.0</w:t>
            </w:r>
          </w:p>
        </w:tc>
        <w:tc>
          <w:tcPr>
            <w:tcW w:type="dxa" w:w="551"/>
            <w:shd w:val="clear" w:color="auto" w:fill="F8FAFC"/>
          </w:tcPr>
          <w:p>
            <w:pPr>
              <w:jc w:val="left"/>
            </w:pPr>
            <w:r>
              <w:rPr>
                <w:color w:val="1E293B"/>
                <w:sz w:val="17"/>
              </w:rPr>
              <w:t>229900</w:t>
            </w:r>
          </w:p>
        </w:tc>
        <w:tc>
          <w:tcPr>
            <w:tcW w:type="dxa" w:w="551"/>
            <w:shd w:val="clear" w:color="auto" w:fill="F8FAFC"/>
          </w:tcPr>
          <w:p>
            <w:pPr>
              <w:jc w:val="left"/>
            </w:pPr>
            <w:r>
              <w:rPr>
                <w:color w:val="1E293B"/>
                <w:sz w:val="17"/>
              </w:rPr>
              <w:t>87.9</w:t>
            </w:r>
          </w:p>
        </w:tc>
        <w:tc>
          <w:tcPr>
            <w:tcW w:type="dxa" w:w="551"/>
            <w:shd w:val="clear" w:color="auto" w:fill="F8FAFC"/>
          </w:tcPr>
          <w:p>
            <w:pPr>
              <w:jc w:val="left"/>
            </w:pPr>
            <w:r>
              <w:rPr>
                <w:color w:val="1E293B"/>
                <w:sz w:val="17"/>
              </w:rPr>
              <w:t>89.0</w:t>
            </w:r>
          </w:p>
        </w:tc>
        <w:tc>
          <w:tcPr>
            <w:tcW w:type="dxa" w:w="551"/>
            <w:shd w:val="clear" w:color="auto" w:fill="F8FAFC"/>
          </w:tcPr>
          <w:p>
            <w:pPr>
              <w:jc w:val="left"/>
            </w:pPr>
            <w:r>
              <w:rPr>
                <w:color w:val="1E293B"/>
                <w:sz w:val="17"/>
              </w:rPr>
              <w:t>12.0</w:t>
            </w:r>
          </w:p>
        </w:tc>
        <w:tc>
          <w:tcPr>
            <w:tcW w:type="dxa" w:w="551"/>
            <w:shd w:val="clear" w:color="auto" w:fill="F8FAFC"/>
          </w:tcPr>
          <w:p>
            <w:pPr>
              <w:jc w:val="left"/>
            </w:pPr>
            <w:r>
              <w:rPr>
                <w:color w:val="1E293B"/>
                <w:sz w:val="17"/>
              </w:rPr>
              <w:t>512.0</w:t>
            </w:r>
          </w:p>
        </w:tc>
        <w:tc>
          <w:tcPr>
            <w:tcW w:type="dxa" w:w="551"/>
            <w:shd w:val="clear" w:color="auto" w:fill="F8FAFC"/>
          </w:tcPr>
          <w:p>
            <w:pPr>
              <w:jc w:val="left"/>
            </w:pPr>
            <w:r>
              <w:rPr>
                <w:color w:val="1E293B"/>
                <w:sz w:val="17"/>
              </w:rPr>
              <w:t>4525.0</w:t>
            </w:r>
          </w:p>
        </w:tc>
        <w:tc>
          <w:tcPr>
            <w:tcW w:type="dxa" w:w="551"/>
            <w:shd w:val="clear" w:color="auto" w:fill="F8FAFC"/>
          </w:tcPr>
          <w:p>
            <w:pPr>
              <w:jc w:val="left"/>
            </w:pPr>
            <w:r>
              <w:rPr>
                <w:color w:val="1E293B"/>
                <w:sz w:val="17"/>
              </w:rPr>
              <w:t>27.0</w:t>
            </w:r>
          </w:p>
        </w:tc>
        <w:tc>
          <w:tcPr>
            <w:tcW w:type="dxa" w:w="551"/>
            <w:shd w:val="clear" w:color="auto" w:fill="F8FAFC"/>
          </w:tcPr>
          <w:p>
            <w:pPr>
              <w:jc w:val="left"/>
            </w:pPr>
            <w:r>
              <w:rPr>
                <w:color w:val="1E293B"/>
                <w:sz w:val="17"/>
              </w:rPr>
              <w:t>120.0</w:t>
            </w:r>
          </w:p>
        </w:tc>
        <w:tc>
          <w:tcPr>
            <w:tcW w:type="dxa" w:w="551"/>
            <w:shd w:val="clear" w:color="auto" w:fill="F8FAFC"/>
          </w:tcPr>
          <w:p>
            <w:pPr>
              <w:jc w:val="left"/>
            </w:pPr>
            <w:r>
              <w:rPr>
                <w:color w:val="1E293B"/>
                <w:sz w:val="17"/>
              </w:rPr>
              <w:t>100.0</w:t>
            </w:r>
          </w:p>
        </w:tc>
        <w:tc>
          <w:tcPr>
            <w:tcW w:type="dxa" w:w="551"/>
            <w:shd w:val="clear" w:color="auto" w:fill="F8FAFC"/>
          </w:tcPr>
          <w:p>
            <w:pPr>
              <w:jc w:val="left"/>
            </w:pPr>
            <w:r>
              <w:rPr>
                <w:color w:val="1E293B"/>
                <w:sz w:val="17"/>
              </w:rPr>
              <w:t>100.0</w:t>
            </w:r>
          </w:p>
        </w:tc>
        <w:tc>
          <w:tcPr>
            <w:tcW w:type="dxa" w:w="551"/>
            <w:shd w:val="clear" w:color="auto" w:fill="F8FAFC"/>
          </w:tcPr>
          <w:p>
            <w:pPr>
              <w:jc w:val="left"/>
            </w:pPr>
            <w:r>
              <w:rPr>
                <w:color w:val="1E293B"/>
                <w:sz w:val="17"/>
              </w:rPr>
              <w:t>100.0</w:t>
            </w:r>
          </w:p>
        </w:tc>
        <w:tc>
          <w:tcPr>
            <w:tcW w:type="dxa" w:w="551"/>
            <w:shd w:val="clear" w:color="auto" w:fill="F8FAFC"/>
          </w:tcPr>
          <w:p>
            <w:pPr>
              <w:jc w:val="left"/>
            </w:pPr>
            <w:r>
              <w:rPr>
                <w:color w:val="1E293B"/>
                <w:sz w:val="17"/>
              </w:rPr>
              <w:t>88.2</w:t>
            </w:r>
          </w:p>
        </w:tc>
        <w:tc>
          <w:tcPr>
            <w:tcW w:type="dxa" w:w="551"/>
            <w:shd w:val="clear" w:color="auto" w:fill="F8FAFC"/>
          </w:tcPr>
          <w:p>
            <w:pPr>
              <w:jc w:val="left"/>
            </w:pPr>
            <w:r>
              <w:rPr>
                <w:color w:val="1E293B"/>
                <w:sz w:val="17"/>
              </w:rPr>
              <w:t>10.03</w:t>
            </w:r>
          </w:p>
        </w:tc>
      </w:tr>
      <w:tr>
        <w:tc>
          <w:tcPr>
            <w:tcW w:type="dxa" w:w="551"/>
            <w:shd w:val="clear" w:color="auto" w:fill="FFFFFF"/>
          </w:tcPr>
          <w:p>
            <w:pPr>
              <w:jc w:val="left"/>
            </w:pPr>
            <w:r>
              <w:rPr>
                <w:color w:val="1E293B"/>
                <w:sz w:val="17"/>
              </w:rPr>
              <w:t>Upper-Mid (35k-60k)</w:t>
            </w:r>
          </w:p>
        </w:tc>
        <w:tc>
          <w:tcPr>
            <w:tcW w:type="dxa" w:w="551"/>
            <w:shd w:val="clear" w:color="auto" w:fill="FFFFFF"/>
          </w:tcPr>
          <w:p>
            <w:pPr>
              <w:jc w:val="left"/>
            </w:pPr>
            <w:r>
              <w:rPr>
                <w:color w:val="1E293B"/>
                <w:sz w:val="17"/>
              </w:rPr>
              <w:t>73</w:t>
            </w:r>
          </w:p>
        </w:tc>
        <w:tc>
          <w:tcPr>
            <w:tcW w:type="dxa" w:w="551"/>
            <w:shd w:val="clear" w:color="auto" w:fill="FFFFFF"/>
          </w:tcPr>
          <w:p>
            <w:pPr>
              <w:jc w:val="left"/>
            </w:pPr>
            <w:r>
              <w:rPr>
                <w:color w:val="1E293B"/>
                <w:sz w:val="17"/>
              </w:rPr>
              <w:t>35359</w:t>
            </w:r>
          </w:p>
        </w:tc>
        <w:tc>
          <w:tcPr>
            <w:tcW w:type="dxa" w:w="551"/>
            <w:shd w:val="clear" w:color="auto" w:fill="FFFFFF"/>
          </w:tcPr>
          <w:p>
            <w:pPr>
              <w:jc w:val="left"/>
            </w:pPr>
            <w:r>
              <w:rPr>
                <w:color w:val="1E293B"/>
                <w:sz w:val="17"/>
              </w:rPr>
              <w:t>42975.0</w:t>
            </w:r>
          </w:p>
        </w:tc>
        <w:tc>
          <w:tcPr>
            <w:tcW w:type="dxa" w:w="551"/>
            <w:shd w:val="clear" w:color="auto" w:fill="FFFFFF"/>
          </w:tcPr>
          <w:p>
            <w:pPr>
              <w:jc w:val="left"/>
            </w:pPr>
            <w:r>
              <w:rPr>
                <w:color w:val="1E293B"/>
                <w:sz w:val="17"/>
              </w:rPr>
              <w:t>59999</w:t>
            </w:r>
          </w:p>
        </w:tc>
        <w:tc>
          <w:tcPr>
            <w:tcW w:type="dxa" w:w="551"/>
            <w:shd w:val="clear" w:color="auto" w:fill="FFFFFF"/>
          </w:tcPr>
          <w:p>
            <w:pPr>
              <w:jc w:val="left"/>
            </w:pPr>
            <w:r>
              <w:rPr>
                <w:color w:val="1E293B"/>
                <w:sz w:val="17"/>
              </w:rPr>
              <w:t>86.5</w:t>
            </w:r>
          </w:p>
        </w:tc>
        <w:tc>
          <w:tcPr>
            <w:tcW w:type="dxa" w:w="551"/>
            <w:shd w:val="clear" w:color="auto" w:fill="FFFFFF"/>
          </w:tcPr>
          <w:p>
            <w:pPr>
              <w:jc w:val="left"/>
            </w:pPr>
            <w:r>
              <w:rPr>
                <w:color w:val="1E293B"/>
                <w:sz w:val="17"/>
              </w:rPr>
              <w:t>87.0</w:t>
            </w:r>
          </w:p>
        </w:tc>
        <w:tc>
          <w:tcPr>
            <w:tcW w:type="dxa" w:w="551"/>
            <w:shd w:val="clear" w:color="auto" w:fill="FFFFFF"/>
          </w:tcPr>
          <w:p>
            <w:pPr>
              <w:jc w:val="left"/>
            </w:pPr>
            <w:r>
              <w:rPr>
                <w:color w:val="1E293B"/>
                <w:sz w:val="17"/>
              </w:rPr>
              <w:t>12.0</w:t>
            </w:r>
          </w:p>
        </w:tc>
        <w:tc>
          <w:tcPr>
            <w:tcW w:type="dxa" w:w="551"/>
            <w:shd w:val="clear" w:color="auto" w:fill="FFFFFF"/>
          </w:tcPr>
          <w:p>
            <w:pPr>
              <w:jc w:val="left"/>
            </w:pPr>
            <w:r>
              <w:rPr>
                <w:color w:val="1E293B"/>
                <w:sz w:val="17"/>
              </w:rPr>
              <w:t>256.0</w:t>
            </w:r>
          </w:p>
        </w:tc>
        <w:tc>
          <w:tcPr>
            <w:tcW w:type="dxa" w:w="551"/>
            <w:shd w:val="clear" w:color="auto" w:fill="FFFFFF"/>
          </w:tcPr>
          <w:p>
            <w:pPr>
              <w:jc w:val="left"/>
            </w:pPr>
            <w:r>
              <w:rPr>
                <w:color w:val="1E293B"/>
                <w:sz w:val="17"/>
              </w:rPr>
              <w:t>5500.0</w:t>
            </w:r>
          </w:p>
        </w:tc>
        <w:tc>
          <w:tcPr>
            <w:tcW w:type="dxa" w:w="551"/>
            <w:shd w:val="clear" w:color="auto" w:fill="FFFFFF"/>
          </w:tcPr>
          <w:p>
            <w:pPr>
              <w:jc w:val="left"/>
            </w:pPr>
            <w:r>
              <w:rPr>
                <w:color w:val="1E293B"/>
                <w:sz w:val="17"/>
              </w:rPr>
              <w:t>80.0</w:t>
            </w:r>
          </w:p>
        </w:tc>
        <w:tc>
          <w:tcPr>
            <w:tcW w:type="dxa" w:w="551"/>
            <w:shd w:val="clear" w:color="auto" w:fill="FFFFFF"/>
          </w:tcPr>
          <w:p>
            <w:pPr>
              <w:jc w:val="left"/>
            </w:pPr>
            <w:r>
              <w:rPr>
                <w:color w:val="1E293B"/>
                <w:sz w:val="17"/>
              </w:rPr>
              <w:t>120.0</w:t>
            </w:r>
          </w:p>
        </w:tc>
        <w:tc>
          <w:tcPr>
            <w:tcW w:type="dxa" w:w="551"/>
            <w:shd w:val="clear" w:color="auto" w:fill="FFFFFF"/>
          </w:tcPr>
          <w:p>
            <w:pPr>
              <w:jc w:val="left"/>
            </w:pPr>
            <w:r>
              <w:rPr>
                <w:color w:val="1E293B"/>
                <w:sz w:val="17"/>
              </w:rPr>
              <w:t>100.0</w:t>
            </w:r>
          </w:p>
        </w:tc>
        <w:tc>
          <w:tcPr>
            <w:tcW w:type="dxa" w:w="551"/>
            <w:shd w:val="clear" w:color="auto" w:fill="FFFFFF"/>
          </w:tcPr>
          <w:p>
            <w:pPr>
              <w:jc w:val="left"/>
            </w:pPr>
            <w:r>
              <w:rPr>
                <w:color w:val="1E293B"/>
                <w:sz w:val="17"/>
              </w:rPr>
              <w:t>80.8</w:t>
            </w:r>
          </w:p>
        </w:tc>
        <w:tc>
          <w:tcPr>
            <w:tcW w:type="dxa" w:w="551"/>
            <w:shd w:val="clear" w:color="auto" w:fill="FFFFFF"/>
          </w:tcPr>
          <w:p>
            <w:pPr>
              <w:jc w:val="left"/>
            </w:pPr>
            <w:r>
              <w:rPr>
                <w:color w:val="1E293B"/>
                <w:sz w:val="17"/>
              </w:rPr>
              <w:t>100.0</w:t>
            </w:r>
          </w:p>
        </w:tc>
        <w:tc>
          <w:tcPr>
            <w:tcW w:type="dxa" w:w="551"/>
            <w:shd w:val="clear" w:color="auto" w:fill="FFFFFF"/>
          </w:tcPr>
          <w:p>
            <w:pPr>
              <w:jc w:val="left"/>
            </w:pPr>
            <w:r>
              <w:rPr>
                <w:color w:val="1E293B"/>
                <w:sz w:val="17"/>
              </w:rPr>
              <w:t>98.6</w:t>
            </w:r>
          </w:p>
        </w:tc>
        <w:tc>
          <w:tcPr>
            <w:tcW w:type="dxa" w:w="551"/>
            <w:shd w:val="clear" w:color="auto" w:fill="FFFFFF"/>
          </w:tcPr>
          <w:p>
            <w:pPr>
              <w:jc w:val="left"/>
            </w:pPr>
            <w:r>
              <w:rPr>
                <w:color w:val="1E293B"/>
                <w:sz w:val="17"/>
              </w:rPr>
              <w:t>9.63</w:t>
            </w:r>
          </w:p>
        </w:tc>
      </w:tr>
    </w:tbl>
    <w:p>
      <w:pPr>
        <w:spacing w:after="120"/>
      </w:pPr>
    </w:p>
    <w:p>
      <w:pPr>
        <w:pStyle w:val="Heading1"/>
        <w:keepNext/>
        <w:spacing w:before="240" w:after="80"/>
      </w:pPr>
      <w:r>
        <w:rPr>
          <w:b/>
          <w:color w:val="1E3A8A"/>
          <w:sz w:val="32"/>
        </w:rPr>
        <w:t>13. Driver Analysis &amp; Correlations</w:t>
      </w:r>
    </w:p>
    <w:p>
      <w:r>
        <w:t>Correlation analysis demonstrates that peak CPU clock speed (r = 0.784, Spearman rho = 0.811) and internal storage (r = 0.754, rho = 0.793) have the strongest positive associations with price. Notably, raw CPU core count exhibits a negative correlation (r = -0.211) because Apple flagships utilize 6-core architectures while entry-level Android devices ubiquitously feature 8 budget cores.</w:t>
      </w:r>
    </w:p>
    <w:p>
      <w:pPr>
        <w:spacing w:before="160" w:after="40"/>
        <w:jc w:val="center"/>
      </w:pPr>
      <w:r>
        <w:drawing>
          <wp:inline xmlns:a="http://schemas.openxmlformats.org/drawingml/2006/main" xmlns:pic="http://schemas.openxmlformats.org/drawingml/2006/picture">
            <wp:extent cx="5669280" cy="5196553"/>
            <wp:docPr id="8" name="Picture 8"/>
            <wp:cNvGraphicFramePr>
              <a:graphicFrameLocks noChangeAspect="1"/>
            </wp:cNvGraphicFramePr>
            <a:graphic>
              <a:graphicData uri="http://schemas.openxmlformats.org/drawingml/2006/picture">
                <pic:pic>
                  <pic:nvPicPr>
                    <pic:cNvPr id="0" name="08_correlation_heatmap.png"/>
                    <pic:cNvPicPr/>
                  </pic:nvPicPr>
                  <pic:blipFill>
                    <a:blip r:embed="rId16"/>
                    <a:stretch>
                      <a:fillRect/>
                    </a:stretch>
                  </pic:blipFill>
                  <pic:spPr>
                    <a:xfrm>
                      <a:off x="0" y="0"/>
                      <a:ext cx="5669280" cy="5196553"/>
                    </a:xfrm>
                    <a:prstGeom prst="rect"/>
                  </pic:spPr>
                </pic:pic>
              </a:graphicData>
            </a:graphic>
          </wp:inline>
        </w:drawing>
      </w:r>
    </w:p>
    <w:p>
      <w:pPr>
        <w:spacing w:after="200"/>
        <w:jc w:val="center"/>
      </w:pPr>
      <w:r>
        <w:rPr>
          <w:i/>
          <w:color w:val="64748B"/>
          <w:sz w:val="17"/>
        </w:rPr>
        <w:t>Figure 7: Full Specification Correlation Heatmap</w:t>
      </w:r>
    </w:p>
    <w:p>
      <w:pPr>
        <w:spacing w:before="160" w:after="40"/>
        <w:jc w:val="center"/>
      </w:pPr>
      <w:r>
        <w:drawing>
          <wp:inline xmlns:a="http://schemas.openxmlformats.org/drawingml/2006/main" xmlns:pic="http://schemas.openxmlformats.org/drawingml/2006/picture">
            <wp:extent cx="5669280" cy="3241826"/>
            <wp:docPr id="9" name="Picture 9"/>
            <wp:cNvGraphicFramePr>
              <a:graphicFrameLocks noChangeAspect="1"/>
            </wp:cNvGraphicFramePr>
            <a:graphic>
              <a:graphicData uri="http://schemas.openxmlformats.org/drawingml/2006/picture">
                <pic:pic>
                  <pic:nvPicPr>
                    <pic:cNvPr id="0" name="09_price_vs_clock_speed.png"/>
                    <pic:cNvPicPr/>
                  </pic:nvPicPr>
                  <pic:blipFill>
                    <a:blip r:embed="rId17"/>
                    <a:stretch>
                      <a:fillRect/>
                    </a:stretch>
                  </pic:blipFill>
                  <pic:spPr>
                    <a:xfrm>
                      <a:off x="0" y="0"/>
                      <a:ext cx="5669280" cy="3241826"/>
                    </a:xfrm>
                    <a:prstGeom prst="rect"/>
                  </pic:spPr>
                </pic:pic>
              </a:graphicData>
            </a:graphic>
          </wp:inline>
        </w:drawing>
      </w:r>
    </w:p>
    <w:p>
      <w:pPr>
        <w:spacing w:after="200"/>
        <w:jc w:val="center"/>
      </w:pPr>
      <w:r>
        <w:rPr>
          <w:i/>
          <w:color w:val="64748B"/>
          <w:sz w:val="17"/>
        </w:rPr>
        <w:t>Figure 8: CPU Clock Speed vs. Retail Price by Silicon Brand</w:t>
      </w:r>
    </w:p>
    <w:p>
      <w:pPr>
        <w:spacing w:before="160" w:after="40"/>
        <w:jc w:val="center"/>
      </w:pPr>
      <w:r>
        <w:drawing>
          <wp:inline xmlns:a="http://schemas.openxmlformats.org/drawingml/2006/main" xmlns:pic="http://schemas.openxmlformats.org/drawingml/2006/picture">
            <wp:extent cx="5669280" cy="2650081"/>
            <wp:docPr id="10" name="Picture 10"/>
            <wp:cNvGraphicFramePr>
              <a:graphicFrameLocks noChangeAspect="1"/>
            </wp:cNvGraphicFramePr>
            <a:graphic>
              <a:graphicData uri="http://schemas.openxmlformats.org/drawingml/2006/picture">
                <pic:pic>
                  <pic:nvPicPr>
                    <pic:cNvPr id="0" name="10_price_vs_storage_ram.png"/>
                    <pic:cNvPicPr/>
                  </pic:nvPicPr>
                  <pic:blipFill>
                    <a:blip r:embed="rId18"/>
                    <a:stretch>
                      <a:fillRect/>
                    </a:stretch>
                  </pic:blipFill>
                  <pic:spPr>
                    <a:xfrm>
                      <a:off x="0" y="0"/>
                      <a:ext cx="5669280" cy="2650081"/>
                    </a:xfrm>
                    <a:prstGeom prst="rect"/>
                  </pic:spPr>
                </pic:pic>
              </a:graphicData>
            </a:graphic>
          </wp:inline>
        </w:drawing>
      </w:r>
    </w:p>
    <w:p>
      <w:pPr>
        <w:spacing w:after="200"/>
        <w:jc w:val="center"/>
      </w:pPr>
      <w:r>
        <w:rPr>
          <w:i/>
          <w:color w:val="64748B"/>
          <w:sz w:val="17"/>
        </w:rPr>
        <w:t>Figure 9: Memory Stepping Ladders vs. Retail Price</w:t>
      </w:r>
    </w:p>
    <w:p>
      <w:pPr>
        <w:pStyle w:val="Heading1"/>
        <w:keepNext/>
        <w:spacing w:before="240" w:after="80"/>
      </w:pPr>
      <w:r>
        <w:rPr>
          <w:b/>
          <w:color w:val="1E3A8A"/>
          <w:sz w:val="32"/>
        </w:rPr>
        <w:t>14. Econometric Pricing Regression</w:t>
      </w:r>
    </w:p>
    <w:p>
      <w:r>
        <w:t>An interpretable baseline hedonic regression model was trained on an 80/20 train/test split. The model explains approximately 89.24% of the variation in log-transformed listed prices within the analyzed dataset (test R² = 0.8924), translating to R² = 0.8184 on raw price in INR with a Mean Absolute Error of ₹5,321.21. Top predictive contributors within the model were CPU clock speed (std coef +0.258), storage (+0.244), iOS ecosystem (+0.218), NFC (+0.142), and RAM (+0.126).</w:t>
      </w:r>
    </w:p>
    <w:p>
      <w:pPr>
        <w:spacing w:before="160" w:after="40"/>
        <w:jc w:val="center"/>
      </w:pPr>
      <w:r>
        <w:drawing>
          <wp:inline xmlns:a="http://schemas.openxmlformats.org/drawingml/2006/main" xmlns:pic="http://schemas.openxmlformats.org/drawingml/2006/picture">
            <wp:extent cx="5669280" cy="4265523"/>
            <wp:docPr id="11" name="Picture 11"/>
            <wp:cNvGraphicFramePr>
              <a:graphicFrameLocks noChangeAspect="1"/>
            </wp:cNvGraphicFramePr>
            <a:graphic>
              <a:graphicData uri="http://schemas.openxmlformats.org/drawingml/2006/picture">
                <pic:pic>
                  <pic:nvPicPr>
                    <pic:cNvPr id="0" name="11_regression_actual_vs_predicted.png"/>
                    <pic:cNvPicPr/>
                  </pic:nvPicPr>
                  <pic:blipFill>
                    <a:blip r:embed="rId19"/>
                    <a:stretch>
                      <a:fillRect/>
                    </a:stretch>
                  </pic:blipFill>
                  <pic:spPr>
                    <a:xfrm>
                      <a:off x="0" y="0"/>
                      <a:ext cx="5669280" cy="4265523"/>
                    </a:xfrm>
                    <a:prstGeom prst="rect"/>
                  </pic:spPr>
                </pic:pic>
              </a:graphicData>
            </a:graphic>
          </wp:inline>
        </w:drawing>
      </w:r>
    </w:p>
    <w:p>
      <w:pPr>
        <w:spacing w:after="200"/>
        <w:jc w:val="center"/>
      </w:pPr>
      <w:r>
        <w:rPr>
          <w:i/>
          <w:color w:val="64748B"/>
          <w:sz w:val="17"/>
        </w:rPr>
        <w:t>Figure 10: Econometric Model Actual vs. Predicted Price</w:t>
      </w:r>
    </w:p>
    <w:p>
      <w:pPr>
        <w:spacing w:before="160" w:after="40"/>
        <w:jc w:val="center"/>
      </w:pPr>
      <w:r>
        <w:drawing>
          <wp:inline xmlns:a="http://schemas.openxmlformats.org/drawingml/2006/main" xmlns:pic="http://schemas.openxmlformats.org/drawingml/2006/picture">
            <wp:extent cx="5669280" cy="3386008"/>
            <wp:docPr id="12" name="Picture 12"/>
            <wp:cNvGraphicFramePr>
              <a:graphicFrameLocks noChangeAspect="1"/>
            </wp:cNvGraphicFramePr>
            <a:graphic>
              <a:graphicData uri="http://schemas.openxmlformats.org/drawingml/2006/picture">
                <pic:pic>
                  <pic:nvPicPr>
                    <pic:cNvPr id="0" name="12_regression_coefficients.png"/>
                    <pic:cNvPicPr/>
                  </pic:nvPicPr>
                  <pic:blipFill>
                    <a:blip r:embed="rId20"/>
                    <a:stretch>
                      <a:fillRect/>
                    </a:stretch>
                  </pic:blipFill>
                  <pic:spPr>
                    <a:xfrm>
                      <a:off x="0" y="0"/>
                      <a:ext cx="5669280" cy="3386008"/>
                    </a:xfrm>
                    <a:prstGeom prst="rect"/>
                  </pic:spPr>
                </pic:pic>
              </a:graphicData>
            </a:graphic>
          </wp:inline>
        </w:drawing>
      </w:r>
    </w:p>
    <w:p>
      <w:pPr>
        <w:spacing w:after="200"/>
        <w:jc w:val="center"/>
      </w:pPr>
      <w:r>
        <w:rPr>
          <w:i/>
          <w:color w:val="64748B"/>
          <w:sz w:val="17"/>
        </w:rPr>
        <w:t>Figure 11: Standardized Hedonic Regression Coefficients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3A8A"/>
          </w:tcPr>
          <w:p>
            <w:pPr>
              <w:jc w:val="center"/>
            </w:pPr>
            <w:r>
              <w:rPr>
                <w:b/>
                <w:color w:val="FFFFFF"/>
                <w:sz w:val="18"/>
              </w:rPr>
              <w:t>model_name</w:t>
            </w:r>
          </w:p>
        </w:tc>
        <w:tc>
          <w:tcPr>
            <w:tcW w:type="dxa" w:w="1337"/>
            <w:shd w:val="clear" w:color="auto" w:fill="1E3A8A"/>
          </w:tcPr>
          <w:p>
            <w:pPr>
              <w:jc w:val="center"/>
            </w:pPr>
            <w:r>
              <w:rPr>
                <w:b/>
                <w:color w:val="FFFFFF"/>
                <w:sz w:val="18"/>
              </w:rPr>
              <w:t>test_r2_log_price</w:t>
            </w:r>
          </w:p>
        </w:tc>
        <w:tc>
          <w:tcPr>
            <w:tcW w:type="dxa" w:w="1337"/>
            <w:shd w:val="clear" w:color="auto" w:fill="1E3A8A"/>
          </w:tcPr>
          <w:p>
            <w:pPr>
              <w:jc w:val="center"/>
            </w:pPr>
            <w:r>
              <w:rPr>
                <w:b/>
                <w:color w:val="FFFFFF"/>
                <w:sz w:val="18"/>
              </w:rPr>
              <w:t>test_r2_raw_price_inr</w:t>
            </w:r>
          </w:p>
        </w:tc>
        <w:tc>
          <w:tcPr>
            <w:tcW w:type="dxa" w:w="1337"/>
            <w:shd w:val="clear" w:color="auto" w:fill="1E3A8A"/>
          </w:tcPr>
          <w:p>
            <w:pPr>
              <w:jc w:val="center"/>
            </w:pPr>
            <w:r>
              <w:rPr>
                <w:b/>
                <w:color w:val="FFFFFF"/>
                <w:sz w:val="18"/>
              </w:rPr>
              <w:t>test_mae_inr</w:t>
            </w:r>
          </w:p>
        </w:tc>
        <w:tc>
          <w:tcPr>
            <w:tcW w:type="dxa" w:w="1337"/>
            <w:shd w:val="clear" w:color="auto" w:fill="1E3A8A"/>
          </w:tcPr>
          <w:p>
            <w:pPr>
              <w:jc w:val="center"/>
            </w:pPr>
            <w:r>
              <w:rPr>
                <w:b/>
                <w:color w:val="FFFFFF"/>
                <w:sz w:val="18"/>
              </w:rPr>
              <w:t>test_rmse_inr</w:t>
            </w:r>
          </w:p>
        </w:tc>
        <w:tc>
          <w:tcPr>
            <w:tcW w:type="dxa" w:w="1337"/>
            <w:shd w:val="clear" w:color="auto" w:fill="1E3A8A"/>
          </w:tcPr>
          <w:p>
            <w:pPr>
              <w:jc w:val="center"/>
            </w:pPr>
            <w:r>
              <w:rPr>
                <w:b/>
                <w:color w:val="FFFFFF"/>
                <w:sz w:val="18"/>
              </w:rPr>
              <w:t>sample_size_train</w:t>
            </w:r>
          </w:p>
        </w:tc>
        <w:tc>
          <w:tcPr>
            <w:tcW w:type="dxa" w:w="1337"/>
            <w:shd w:val="clear" w:color="auto" w:fill="1E3A8A"/>
          </w:tcPr>
          <w:p>
            <w:pPr>
              <w:jc w:val="center"/>
            </w:pPr>
            <w:r>
              <w:rPr>
                <w:b/>
                <w:color w:val="FFFFFF"/>
                <w:sz w:val="18"/>
              </w:rPr>
              <w:t>sample_size_test</w:t>
            </w:r>
          </w:p>
        </w:tc>
      </w:tr>
      <w:tr>
        <w:tc>
          <w:tcPr>
            <w:tcW w:type="dxa" w:w="1337"/>
            <w:shd w:val="clear" w:color="auto" w:fill="FFFFFF"/>
          </w:tcPr>
          <w:p>
            <w:pPr>
              <w:jc w:val="left"/>
            </w:pPr>
            <w:r>
              <w:rPr>
                <w:color w:val="1E293B"/>
                <w:sz w:val="17"/>
              </w:rPr>
              <w:t>Multiple Linear Regression (OLS)</w:t>
            </w:r>
          </w:p>
        </w:tc>
        <w:tc>
          <w:tcPr>
            <w:tcW w:type="dxa" w:w="1337"/>
            <w:shd w:val="clear" w:color="auto" w:fill="FFFFFF"/>
          </w:tcPr>
          <w:p>
            <w:pPr>
              <w:jc w:val="left"/>
            </w:pPr>
            <w:r>
              <w:rPr>
                <w:color w:val="1E293B"/>
                <w:sz w:val="17"/>
              </w:rPr>
              <w:t>0.8924</w:t>
            </w:r>
          </w:p>
        </w:tc>
        <w:tc>
          <w:tcPr>
            <w:tcW w:type="dxa" w:w="1337"/>
            <w:shd w:val="clear" w:color="auto" w:fill="FFFFFF"/>
          </w:tcPr>
          <w:p>
            <w:pPr>
              <w:jc w:val="left"/>
            </w:pPr>
            <w:r>
              <w:rPr>
                <w:color w:val="1E293B"/>
                <w:sz w:val="17"/>
              </w:rPr>
              <w:t>0.8184</w:t>
            </w:r>
          </w:p>
        </w:tc>
        <w:tc>
          <w:tcPr>
            <w:tcW w:type="dxa" w:w="1337"/>
            <w:shd w:val="clear" w:color="auto" w:fill="FFFFFF"/>
          </w:tcPr>
          <w:p>
            <w:pPr>
              <w:jc w:val="left"/>
            </w:pPr>
            <w:r>
              <w:rPr>
                <w:color w:val="1E293B"/>
                <w:sz w:val="17"/>
              </w:rPr>
              <w:t>5321.21</w:t>
            </w:r>
          </w:p>
        </w:tc>
        <w:tc>
          <w:tcPr>
            <w:tcW w:type="dxa" w:w="1337"/>
            <w:shd w:val="clear" w:color="auto" w:fill="FFFFFF"/>
          </w:tcPr>
          <w:p>
            <w:pPr>
              <w:jc w:val="left"/>
            </w:pPr>
            <w:r>
              <w:rPr>
                <w:color w:val="1E293B"/>
                <w:sz w:val="17"/>
              </w:rPr>
              <w:t>10657.27</w:t>
            </w:r>
          </w:p>
        </w:tc>
        <w:tc>
          <w:tcPr>
            <w:tcW w:type="dxa" w:w="1337"/>
            <w:shd w:val="clear" w:color="auto" w:fill="FFFFFF"/>
          </w:tcPr>
          <w:p>
            <w:pPr>
              <w:jc w:val="left"/>
            </w:pPr>
            <w:r>
              <w:rPr>
                <w:color w:val="1E293B"/>
                <w:sz w:val="17"/>
              </w:rPr>
              <w:t>606</w:t>
            </w:r>
          </w:p>
        </w:tc>
        <w:tc>
          <w:tcPr>
            <w:tcW w:type="dxa" w:w="1337"/>
            <w:shd w:val="clear" w:color="auto" w:fill="FFFFFF"/>
          </w:tcPr>
          <w:p>
            <w:pPr>
              <w:jc w:val="left"/>
            </w:pPr>
            <w:r>
              <w:rPr>
                <w:color w:val="1E293B"/>
                <w:sz w:val="17"/>
              </w:rPr>
              <w:t>152</w:t>
            </w:r>
          </w:p>
        </w:tc>
      </w:tr>
      <w:tr>
        <w:tc>
          <w:tcPr>
            <w:tcW w:type="dxa" w:w="1337"/>
            <w:shd w:val="clear" w:color="auto" w:fill="F8FAFC"/>
          </w:tcPr>
          <w:p>
            <w:pPr>
              <w:jc w:val="left"/>
            </w:pPr>
            <w:r>
              <w:rPr>
                <w:color w:val="1E293B"/>
                <w:sz w:val="17"/>
              </w:rPr>
              <w:t>Ridge Regression (L2 Regularized)</w:t>
            </w:r>
          </w:p>
        </w:tc>
        <w:tc>
          <w:tcPr>
            <w:tcW w:type="dxa" w:w="1337"/>
            <w:shd w:val="clear" w:color="auto" w:fill="F8FAFC"/>
          </w:tcPr>
          <w:p>
            <w:pPr>
              <w:jc w:val="left"/>
            </w:pPr>
            <w:r>
              <w:rPr>
                <w:color w:val="1E293B"/>
                <w:sz w:val="17"/>
              </w:rPr>
              <w:t>0.8918</w:t>
            </w:r>
          </w:p>
        </w:tc>
        <w:tc>
          <w:tcPr>
            <w:tcW w:type="dxa" w:w="1337"/>
            <w:shd w:val="clear" w:color="auto" w:fill="F8FAFC"/>
          </w:tcPr>
          <w:p>
            <w:pPr>
              <w:jc w:val="left"/>
            </w:pPr>
            <w:r>
              <w:rPr>
                <w:color w:val="1E293B"/>
                <w:sz w:val="17"/>
              </w:rPr>
              <w:t>0.813</w:t>
            </w:r>
          </w:p>
        </w:tc>
        <w:tc>
          <w:tcPr>
            <w:tcW w:type="dxa" w:w="1337"/>
            <w:shd w:val="clear" w:color="auto" w:fill="F8FAFC"/>
          </w:tcPr>
          <w:p>
            <w:pPr>
              <w:jc w:val="left"/>
            </w:pPr>
            <w:r>
              <w:rPr>
                <w:color w:val="1E293B"/>
                <w:sz w:val="17"/>
              </w:rPr>
              <w:t>5355.21</w:t>
            </w:r>
          </w:p>
        </w:tc>
        <w:tc>
          <w:tcPr>
            <w:tcW w:type="dxa" w:w="1337"/>
            <w:shd w:val="clear" w:color="auto" w:fill="F8FAFC"/>
          </w:tcPr>
          <w:p>
            <w:pPr>
              <w:jc w:val="left"/>
            </w:pPr>
            <w:r>
              <w:rPr>
                <w:color w:val="1E293B"/>
                <w:sz w:val="17"/>
              </w:rPr>
              <w:t>10814.8</w:t>
            </w:r>
          </w:p>
        </w:tc>
        <w:tc>
          <w:tcPr>
            <w:tcW w:type="dxa" w:w="1337"/>
            <w:shd w:val="clear" w:color="auto" w:fill="F8FAFC"/>
          </w:tcPr>
          <w:p>
            <w:pPr>
              <w:jc w:val="left"/>
            </w:pPr>
            <w:r>
              <w:rPr>
                <w:color w:val="1E293B"/>
                <w:sz w:val="17"/>
              </w:rPr>
              <w:t>606</w:t>
            </w:r>
          </w:p>
        </w:tc>
        <w:tc>
          <w:tcPr>
            <w:tcW w:type="dxa" w:w="1337"/>
            <w:shd w:val="clear" w:color="auto" w:fill="F8FAFC"/>
          </w:tcPr>
          <w:p>
            <w:pPr>
              <w:jc w:val="left"/>
            </w:pPr>
            <w:r>
              <w:rPr>
                <w:color w:val="1E293B"/>
                <w:sz w:val="17"/>
              </w:rPr>
              <w:t>152</w:t>
            </w:r>
          </w:p>
        </w:tc>
      </w:tr>
      <w:tr>
        <w:tc>
          <w:tcPr>
            <w:tcW w:type="dxa" w:w="1337"/>
            <w:shd w:val="clear" w:color="auto" w:fill="FFFFFF"/>
          </w:tcPr>
          <w:p>
            <w:pPr>
              <w:jc w:val="left"/>
            </w:pPr>
            <w:r>
              <w:rPr>
                <w:color w:val="1E293B"/>
                <w:sz w:val="17"/>
              </w:rPr>
              <w:t>Lasso Regression (L1 Regularized)</w:t>
            </w:r>
          </w:p>
        </w:tc>
        <w:tc>
          <w:tcPr>
            <w:tcW w:type="dxa" w:w="1337"/>
            <w:shd w:val="clear" w:color="auto" w:fill="FFFFFF"/>
          </w:tcPr>
          <w:p>
            <w:pPr>
              <w:jc w:val="left"/>
            </w:pPr>
            <w:r>
              <w:rPr>
                <w:color w:val="1E293B"/>
                <w:sz w:val="17"/>
              </w:rPr>
              <w:t>0.8746</w:t>
            </w:r>
          </w:p>
        </w:tc>
        <w:tc>
          <w:tcPr>
            <w:tcW w:type="dxa" w:w="1337"/>
            <w:shd w:val="clear" w:color="auto" w:fill="FFFFFF"/>
          </w:tcPr>
          <w:p>
            <w:pPr>
              <w:jc w:val="left"/>
            </w:pPr>
            <w:r>
              <w:rPr>
                <w:color w:val="1E293B"/>
                <w:sz w:val="17"/>
              </w:rPr>
              <w:t>0.7524</w:t>
            </w:r>
          </w:p>
        </w:tc>
        <w:tc>
          <w:tcPr>
            <w:tcW w:type="dxa" w:w="1337"/>
            <w:shd w:val="clear" w:color="auto" w:fill="FFFFFF"/>
          </w:tcPr>
          <w:p>
            <w:pPr>
              <w:jc w:val="left"/>
            </w:pPr>
            <w:r>
              <w:rPr>
                <w:color w:val="1E293B"/>
                <w:sz w:val="17"/>
              </w:rPr>
              <w:t>5880.55</w:t>
            </w:r>
          </w:p>
        </w:tc>
        <w:tc>
          <w:tcPr>
            <w:tcW w:type="dxa" w:w="1337"/>
            <w:shd w:val="clear" w:color="auto" w:fill="FFFFFF"/>
          </w:tcPr>
          <w:p>
            <w:pPr>
              <w:jc w:val="left"/>
            </w:pPr>
            <w:r>
              <w:rPr>
                <w:color w:val="1E293B"/>
                <w:sz w:val="17"/>
              </w:rPr>
              <w:t>12442.29</w:t>
            </w:r>
          </w:p>
        </w:tc>
        <w:tc>
          <w:tcPr>
            <w:tcW w:type="dxa" w:w="1337"/>
            <w:shd w:val="clear" w:color="auto" w:fill="FFFFFF"/>
          </w:tcPr>
          <w:p>
            <w:pPr>
              <w:jc w:val="left"/>
            </w:pPr>
            <w:r>
              <w:rPr>
                <w:color w:val="1E293B"/>
                <w:sz w:val="17"/>
              </w:rPr>
              <w:t>606</w:t>
            </w:r>
          </w:p>
        </w:tc>
        <w:tc>
          <w:tcPr>
            <w:tcW w:type="dxa" w:w="1337"/>
            <w:shd w:val="clear" w:color="auto" w:fill="FFFFFF"/>
          </w:tcPr>
          <w:p>
            <w:pPr>
              <w:jc w:val="left"/>
            </w:pPr>
            <w:r>
              <w:rPr>
                <w:color w:val="1E293B"/>
                <w:sz w:val="17"/>
              </w:rPr>
              <w:t>152</w:t>
            </w:r>
          </w:p>
        </w:tc>
      </w:tr>
    </w:tbl>
    <w:p>
      <w:pPr>
        <w:spacing w:after="120"/>
      </w:pPr>
    </w:p>
    <w:p>
      <w:pPr>
        <w:pStyle w:val="Heading1"/>
        <w:keepNext/>
        <w:spacing w:before="240" w:after="80"/>
      </w:pPr>
      <w:r>
        <w:rPr>
          <w:b/>
          <w:color w:val="1E3A8A"/>
          <w:sz w:val="32"/>
        </w:rPr>
        <w:t>15. Market Segmentation (Clustering)</w:t>
      </w:r>
    </w:p>
    <w:p>
      <w:r>
        <w:t>Unsupervised K-Means clustering was mathematically evaluated across k in [2, 7]. The highest Silhouette Score was achieved at k = 3 (0.3134), defining three natural hardware tiers: Entry-Level Budget Tier (35.4%, median ₹10,295), Mainstream Performance Tier (53.6%, median ₹22,999), and Ultra-Premium Flagship Tier (11.1%, median ₹89,999).</w:t>
      </w:r>
    </w:p>
    <w:p>
      <w:pPr>
        <w:spacing w:before="160" w:after="40"/>
        <w:jc w:val="center"/>
      </w:pPr>
      <w:r>
        <w:drawing>
          <wp:inline xmlns:a="http://schemas.openxmlformats.org/drawingml/2006/main" xmlns:pic="http://schemas.openxmlformats.org/drawingml/2006/picture">
            <wp:extent cx="5669280" cy="2690860"/>
            <wp:docPr id="13" name="Picture 13"/>
            <wp:cNvGraphicFramePr>
              <a:graphicFrameLocks noChangeAspect="1"/>
            </wp:cNvGraphicFramePr>
            <a:graphic>
              <a:graphicData uri="http://schemas.openxmlformats.org/drawingml/2006/picture">
                <pic:pic>
                  <pic:nvPicPr>
                    <pic:cNvPr id="0" name="13_cluster_elbow_silhouette.png"/>
                    <pic:cNvPicPr/>
                  </pic:nvPicPr>
                  <pic:blipFill>
                    <a:blip r:embed="rId21"/>
                    <a:stretch>
                      <a:fillRect/>
                    </a:stretch>
                  </pic:blipFill>
                  <pic:spPr>
                    <a:xfrm>
                      <a:off x="0" y="0"/>
                      <a:ext cx="5669280" cy="2690860"/>
                    </a:xfrm>
                    <a:prstGeom prst="rect"/>
                  </pic:spPr>
                </pic:pic>
              </a:graphicData>
            </a:graphic>
          </wp:inline>
        </w:drawing>
      </w:r>
    </w:p>
    <w:p>
      <w:pPr>
        <w:spacing w:after="200"/>
        <w:jc w:val="center"/>
      </w:pPr>
      <w:r>
        <w:rPr>
          <w:i/>
          <w:color w:val="64748B"/>
          <w:sz w:val="17"/>
        </w:rPr>
        <w:t>Figure 12: Cluster Evaluation Curves (Silhouette &amp; Inertia)</w:t>
      </w:r>
    </w:p>
    <w:p>
      <w:pPr>
        <w:spacing w:before="160" w:after="40"/>
        <w:jc w:val="center"/>
      </w:pPr>
      <w:r>
        <w:drawing>
          <wp:inline xmlns:a="http://schemas.openxmlformats.org/drawingml/2006/main" xmlns:pic="http://schemas.openxmlformats.org/drawingml/2006/picture">
            <wp:extent cx="5669280" cy="3753382"/>
            <wp:docPr id="14" name="Picture 14"/>
            <wp:cNvGraphicFramePr>
              <a:graphicFrameLocks noChangeAspect="1"/>
            </wp:cNvGraphicFramePr>
            <a:graphic>
              <a:graphicData uri="http://schemas.openxmlformats.org/drawingml/2006/picture">
                <pic:pic>
                  <pic:nvPicPr>
                    <pic:cNvPr id="0" name="14_cluster_pca_scatter.png"/>
                    <pic:cNvPicPr/>
                  </pic:nvPicPr>
                  <pic:blipFill>
                    <a:blip r:embed="rId22"/>
                    <a:stretch>
                      <a:fillRect/>
                    </a:stretch>
                  </pic:blipFill>
                  <pic:spPr>
                    <a:xfrm>
                      <a:off x="0" y="0"/>
                      <a:ext cx="5669280" cy="3753382"/>
                    </a:xfrm>
                    <a:prstGeom prst="rect"/>
                  </pic:spPr>
                </pic:pic>
              </a:graphicData>
            </a:graphic>
          </wp:inline>
        </w:drawing>
      </w:r>
    </w:p>
    <w:p>
      <w:pPr>
        <w:spacing w:after="200"/>
        <w:jc w:val="center"/>
      </w:pPr>
      <w:r>
        <w:rPr>
          <w:i/>
          <w:color w:val="64748B"/>
          <w:sz w:val="17"/>
        </w:rPr>
        <w:t>Figure 13: PCA 2D Hardware Projection Across 3 Clusters</w:t>
      </w:r>
    </w:p>
    <w:tbl>
      <w:tblPr>
        <w:tblW w:type="auto" w:w="0"/>
        <w:jc w:val="center"/>
        <w:tblLayout w:type="fixed"/>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val="clear" w:color="auto" w:fill="1E3A8A"/>
          </w:tcPr>
          <w:p>
            <w:pPr>
              <w:jc w:val="center"/>
            </w:pPr>
            <w:r>
              <w:rPr>
                <w:b/>
                <w:color w:val="FFFFFF"/>
                <w:sz w:val="18"/>
              </w:rPr>
              <w:t>cluster_name</w:t>
            </w:r>
          </w:p>
        </w:tc>
        <w:tc>
          <w:tcPr>
            <w:tcW w:type="dxa" w:w="624"/>
            <w:shd w:val="clear" w:color="auto" w:fill="1E3A8A"/>
          </w:tcPr>
          <w:p>
            <w:pPr>
              <w:jc w:val="center"/>
            </w:pPr>
            <w:r>
              <w:rPr>
                <w:b/>
                <w:color w:val="FFFFFF"/>
                <w:sz w:val="18"/>
              </w:rPr>
              <w:t>model_count</w:t>
            </w:r>
          </w:p>
        </w:tc>
        <w:tc>
          <w:tcPr>
            <w:tcW w:type="dxa" w:w="624"/>
            <w:shd w:val="clear" w:color="auto" w:fill="1E3A8A"/>
          </w:tcPr>
          <w:p>
            <w:pPr>
              <w:jc w:val="center"/>
            </w:pPr>
            <w:r>
              <w:rPr>
                <w:b/>
                <w:color w:val="FFFFFF"/>
                <w:sz w:val="18"/>
              </w:rPr>
              <w:t>min_price</w:t>
            </w:r>
          </w:p>
        </w:tc>
        <w:tc>
          <w:tcPr>
            <w:tcW w:type="dxa" w:w="624"/>
            <w:shd w:val="clear" w:color="auto" w:fill="1E3A8A"/>
          </w:tcPr>
          <w:p>
            <w:pPr>
              <w:jc w:val="center"/>
            </w:pPr>
            <w:r>
              <w:rPr>
                <w:b/>
                <w:color w:val="FFFFFF"/>
                <w:sz w:val="18"/>
              </w:rPr>
              <w:t>median_price</w:t>
            </w:r>
          </w:p>
        </w:tc>
        <w:tc>
          <w:tcPr>
            <w:tcW w:type="dxa" w:w="624"/>
            <w:shd w:val="clear" w:color="auto" w:fill="1E3A8A"/>
          </w:tcPr>
          <w:p>
            <w:pPr>
              <w:jc w:val="center"/>
            </w:pPr>
            <w:r>
              <w:rPr>
                <w:b/>
                <w:color w:val="FFFFFF"/>
                <w:sz w:val="18"/>
              </w:rPr>
              <w:t>max_price</w:t>
            </w:r>
          </w:p>
        </w:tc>
        <w:tc>
          <w:tcPr>
            <w:tcW w:type="dxa" w:w="624"/>
            <w:shd w:val="clear" w:color="auto" w:fill="1E3A8A"/>
          </w:tcPr>
          <w:p>
            <w:pPr>
              <w:jc w:val="center"/>
            </w:pPr>
            <w:r>
              <w:rPr>
                <w:b/>
                <w:color w:val="FFFFFF"/>
                <w:sz w:val="18"/>
              </w:rPr>
              <w:t>median_rating</w:t>
            </w:r>
          </w:p>
        </w:tc>
        <w:tc>
          <w:tcPr>
            <w:tcW w:type="dxa" w:w="624"/>
            <w:shd w:val="clear" w:color="auto" w:fill="1E3A8A"/>
          </w:tcPr>
          <w:p>
            <w:pPr>
              <w:jc w:val="center"/>
            </w:pPr>
            <w:r>
              <w:rPr>
                <w:b/>
                <w:color w:val="FFFFFF"/>
                <w:sz w:val="18"/>
              </w:rPr>
              <w:t>median_ram</w:t>
            </w:r>
          </w:p>
        </w:tc>
        <w:tc>
          <w:tcPr>
            <w:tcW w:type="dxa" w:w="624"/>
            <w:shd w:val="clear" w:color="auto" w:fill="1E3A8A"/>
          </w:tcPr>
          <w:p>
            <w:pPr>
              <w:jc w:val="center"/>
            </w:pPr>
            <w:r>
              <w:rPr>
                <w:b/>
                <w:color w:val="FFFFFF"/>
                <w:sz w:val="18"/>
              </w:rPr>
              <w:t>median_storage</w:t>
            </w:r>
          </w:p>
        </w:tc>
        <w:tc>
          <w:tcPr>
            <w:tcW w:type="dxa" w:w="624"/>
            <w:shd w:val="clear" w:color="auto" w:fill="1E3A8A"/>
          </w:tcPr>
          <w:p>
            <w:pPr>
              <w:jc w:val="center"/>
            </w:pPr>
            <w:r>
              <w:rPr>
                <w:b/>
                <w:color w:val="FFFFFF"/>
                <w:sz w:val="18"/>
              </w:rPr>
              <w:t>median_clock</w:t>
            </w:r>
          </w:p>
        </w:tc>
        <w:tc>
          <w:tcPr>
            <w:tcW w:type="dxa" w:w="624"/>
            <w:shd w:val="clear" w:color="auto" w:fill="1E3A8A"/>
          </w:tcPr>
          <w:p>
            <w:pPr>
              <w:jc w:val="center"/>
            </w:pPr>
            <w:r>
              <w:rPr>
                <w:b/>
                <w:color w:val="FFFFFF"/>
                <w:sz w:val="18"/>
              </w:rPr>
              <w:t>median_refresh</w:t>
            </w:r>
          </w:p>
        </w:tc>
        <w:tc>
          <w:tcPr>
            <w:tcW w:type="dxa" w:w="624"/>
            <w:shd w:val="clear" w:color="auto" w:fill="1E3A8A"/>
          </w:tcPr>
          <w:p>
            <w:pPr>
              <w:jc w:val="center"/>
            </w:pPr>
            <w:r>
              <w:rPr>
                <w:b/>
                <w:color w:val="FFFFFF"/>
                <w:sz w:val="18"/>
              </w:rPr>
              <w:t>median_watt</w:t>
            </w:r>
          </w:p>
        </w:tc>
        <w:tc>
          <w:tcPr>
            <w:tcW w:type="dxa" w:w="624"/>
            <w:shd w:val="clear" w:color="auto" w:fill="1E3A8A"/>
          </w:tcPr>
          <w:p>
            <w:pPr>
              <w:jc w:val="center"/>
            </w:pPr>
            <w:r>
              <w:rPr>
                <w:b/>
                <w:color w:val="FFFFFF"/>
                <w:sz w:val="18"/>
              </w:rPr>
              <w:t>median_battery</w:t>
            </w:r>
          </w:p>
        </w:tc>
        <w:tc>
          <w:tcPr>
            <w:tcW w:type="dxa" w:w="624"/>
            <w:shd w:val="clear" w:color="auto" w:fill="1E3A8A"/>
          </w:tcPr>
          <w:p>
            <w:pPr>
              <w:jc w:val="center"/>
            </w:pPr>
            <w:r>
              <w:rPr>
                <w:b/>
                <w:color w:val="FFFFFF"/>
                <w:sz w:val="18"/>
              </w:rPr>
              <w:t>pct_5g</w:t>
            </w:r>
          </w:p>
        </w:tc>
        <w:tc>
          <w:tcPr>
            <w:tcW w:type="dxa" w:w="624"/>
            <w:shd w:val="clear" w:color="auto" w:fill="1E3A8A"/>
          </w:tcPr>
          <w:p>
            <w:pPr>
              <w:jc w:val="center"/>
            </w:pPr>
            <w:r>
              <w:rPr>
                <w:b/>
                <w:color w:val="FFFFFF"/>
                <w:sz w:val="18"/>
              </w:rPr>
              <w:t>pct_nfc</w:t>
            </w:r>
          </w:p>
        </w:tc>
        <w:tc>
          <w:tcPr>
            <w:tcW w:type="dxa" w:w="624"/>
            <w:shd w:val="clear" w:color="auto" w:fill="1E3A8A"/>
          </w:tcPr>
          <w:p>
            <w:pPr>
              <w:jc w:val="center"/>
            </w:pPr>
            <w:r>
              <w:rPr>
                <w:b/>
                <w:color w:val="FFFFFF"/>
                <w:sz w:val="18"/>
              </w:rPr>
              <w:t>catalog_share_pct</w:t>
            </w:r>
          </w:p>
        </w:tc>
      </w:tr>
      <w:tr>
        <w:tc>
          <w:tcPr>
            <w:tcW w:type="dxa" w:w="624"/>
            <w:shd w:val="clear" w:color="auto" w:fill="FFFFFF"/>
          </w:tcPr>
          <w:p>
            <w:pPr>
              <w:jc w:val="left"/>
            </w:pPr>
            <w:r>
              <w:rPr>
                <w:color w:val="1E293B"/>
                <w:sz w:val="17"/>
              </w:rPr>
              <w:t>Entry-Level Budget Tier</w:t>
            </w:r>
          </w:p>
        </w:tc>
        <w:tc>
          <w:tcPr>
            <w:tcW w:type="dxa" w:w="624"/>
            <w:shd w:val="clear" w:color="auto" w:fill="FFFFFF"/>
          </w:tcPr>
          <w:p>
            <w:pPr>
              <w:jc w:val="left"/>
            </w:pPr>
            <w:r>
              <w:rPr>
                <w:color w:val="1E293B"/>
                <w:sz w:val="17"/>
              </w:rPr>
              <w:t>268</w:t>
            </w:r>
          </w:p>
        </w:tc>
        <w:tc>
          <w:tcPr>
            <w:tcW w:type="dxa" w:w="624"/>
            <w:shd w:val="clear" w:color="auto" w:fill="FFFFFF"/>
          </w:tcPr>
          <w:p>
            <w:pPr>
              <w:jc w:val="left"/>
            </w:pPr>
            <w:r>
              <w:rPr>
                <w:color w:val="1E293B"/>
                <w:sz w:val="17"/>
              </w:rPr>
              <w:t>4040</w:t>
            </w:r>
          </w:p>
        </w:tc>
        <w:tc>
          <w:tcPr>
            <w:tcW w:type="dxa" w:w="624"/>
            <w:shd w:val="clear" w:color="auto" w:fill="FFFFFF"/>
          </w:tcPr>
          <w:p>
            <w:pPr>
              <w:jc w:val="left"/>
            </w:pPr>
            <w:r>
              <w:rPr>
                <w:color w:val="1E293B"/>
                <w:sz w:val="17"/>
              </w:rPr>
              <w:t>10294.5</w:t>
            </w:r>
          </w:p>
        </w:tc>
        <w:tc>
          <w:tcPr>
            <w:tcW w:type="dxa" w:w="624"/>
            <w:shd w:val="clear" w:color="auto" w:fill="FFFFFF"/>
          </w:tcPr>
          <w:p>
            <w:pPr>
              <w:jc w:val="left"/>
            </w:pPr>
            <w:r>
              <w:rPr>
                <w:color w:val="1E293B"/>
                <w:sz w:val="17"/>
              </w:rPr>
              <w:t>79900</w:t>
            </w:r>
          </w:p>
        </w:tc>
        <w:tc>
          <w:tcPr>
            <w:tcW w:type="dxa" w:w="624"/>
            <w:shd w:val="clear" w:color="auto" w:fill="FFFFFF"/>
          </w:tcPr>
          <w:p>
            <w:pPr>
              <w:jc w:val="left"/>
            </w:pPr>
            <w:r>
              <w:rPr>
                <w:color w:val="1E293B"/>
                <w:sz w:val="17"/>
              </w:rPr>
              <w:t>72.0</w:t>
            </w:r>
          </w:p>
        </w:tc>
        <w:tc>
          <w:tcPr>
            <w:tcW w:type="dxa" w:w="624"/>
            <w:shd w:val="clear" w:color="auto" w:fill="FFFFFF"/>
          </w:tcPr>
          <w:p>
            <w:pPr>
              <w:jc w:val="left"/>
            </w:pPr>
            <w:r>
              <w:rPr>
                <w:color w:val="1E293B"/>
                <w:sz w:val="17"/>
              </w:rPr>
              <w:t>4.0</w:t>
            </w:r>
          </w:p>
        </w:tc>
        <w:tc>
          <w:tcPr>
            <w:tcW w:type="dxa" w:w="624"/>
            <w:shd w:val="clear" w:color="auto" w:fill="FFFFFF"/>
          </w:tcPr>
          <w:p>
            <w:pPr>
              <w:jc w:val="left"/>
            </w:pPr>
            <w:r>
              <w:rPr>
                <w:color w:val="1E293B"/>
                <w:sz w:val="17"/>
              </w:rPr>
              <w:t>128.0</w:t>
            </w:r>
          </w:p>
        </w:tc>
        <w:tc>
          <w:tcPr>
            <w:tcW w:type="dxa" w:w="624"/>
            <w:shd w:val="clear" w:color="auto" w:fill="FFFFFF"/>
          </w:tcPr>
          <w:p>
            <w:pPr>
              <w:jc w:val="left"/>
            </w:pPr>
            <w:r>
              <w:rPr>
                <w:color w:val="1E293B"/>
                <w:sz w:val="17"/>
              </w:rPr>
              <w:t>2.2</w:t>
            </w:r>
          </w:p>
        </w:tc>
        <w:tc>
          <w:tcPr>
            <w:tcW w:type="dxa" w:w="624"/>
            <w:shd w:val="clear" w:color="auto" w:fill="FFFFFF"/>
          </w:tcPr>
          <w:p>
            <w:pPr>
              <w:jc w:val="left"/>
            </w:pPr>
            <w:r>
              <w:rPr>
                <w:color w:val="1E293B"/>
                <w:sz w:val="17"/>
              </w:rPr>
              <w:t>90.0</w:t>
            </w:r>
          </w:p>
        </w:tc>
        <w:tc>
          <w:tcPr>
            <w:tcW w:type="dxa" w:w="624"/>
            <w:shd w:val="clear" w:color="auto" w:fill="FFFFFF"/>
          </w:tcPr>
          <w:p>
            <w:pPr>
              <w:jc w:val="left"/>
            </w:pPr>
            <w:r>
              <w:rPr>
                <w:color w:val="1E293B"/>
                <w:sz w:val="17"/>
              </w:rPr>
              <w:t>18.0</w:t>
            </w:r>
          </w:p>
        </w:tc>
        <w:tc>
          <w:tcPr>
            <w:tcW w:type="dxa" w:w="624"/>
            <w:shd w:val="clear" w:color="auto" w:fill="FFFFFF"/>
          </w:tcPr>
          <w:p>
            <w:pPr>
              <w:jc w:val="left"/>
            </w:pPr>
            <w:r>
              <w:rPr>
                <w:color w:val="1E293B"/>
                <w:sz w:val="17"/>
              </w:rPr>
              <w:t>5000.0</w:t>
            </w:r>
          </w:p>
        </w:tc>
        <w:tc>
          <w:tcPr>
            <w:tcW w:type="dxa" w:w="624"/>
            <w:shd w:val="clear" w:color="auto" w:fill="FFFFFF"/>
          </w:tcPr>
          <w:p>
            <w:pPr>
              <w:jc w:val="left"/>
            </w:pPr>
            <w:r>
              <w:rPr>
                <w:color w:val="1E293B"/>
                <w:sz w:val="17"/>
              </w:rPr>
              <w:t>62.7</w:t>
            </w:r>
          </w:p>
        </w:tc>
        <w:tc>
          <w:tcPr>
            <w:tcW w:type="dxa" w:w="624"/>
            <w:shd w:val="clear" w:color="auto" w:fill="FFFFFF"/>
          </w:tcPr>
          <w:p>
            <w:pPr>
              <w:jc w:val="left"/>
            </w:pPr>
            <w:r>
              <w:rPr>
                <w:color w:val="1E293B"/>
                <w:sz w:val="17"/>
              </w:rPr>
              <w:t>13.1</w:t>
            </w:r>
          </w:p>
        </w:tc>
        <w:tc>
          <w:tcPr>
            <w:tcW w:type="dxa" w:w="624"/>
            <w:shd w:val="clear" w:color="auto" w:fill="FFFFFF"/>
          </w:tcPr>
          <w:p>
            <w:pPr>
              <w:jc w:val="left"/>
            </w:pPr>
            <w:r>
              <w:rPr>
                <w:color w:val="1E293B"/>
                <w:sz w:val="17"/>
              </w:rPr>
              <w:t>35.36</w:t>
            </w:r>
          </w:p>
        </w:tc>
      </w:tr>
      <w:tr>
        <w:tc>
          <w:tcPr>
            <w:tcW w:type="dxa" w:w="624"/>
            <w:shd w:val="clear" w:color="auto" w:fill="F8FAFC"/>
          </w:tcPr>
          <w:p>
            <w:pPr>
              <w:jc w:val="left"/>
            </w:pPr>
            <w:r>
              <w:rPr>
                <w:color w:val="1E293B"/>
                <w:sz w:val="17"/>
              </w:rPr>
              <w:t>Mainstream Performance Tier</w:t>
            </w:r>
          </w:p>
        </w:tc>
        <w:tc>
          <w:tcPr>
            <w:tcW w:type="dxa" w:w="624"/>
            <w:shd w:val="clear" w:color="auto" w:fill="F8FAFC"/>
          </w:tcPr>
          <w:p>
            <w:pPr>
              <w:jc w:val="left"/>
            </w:pPr>
            <w:r>
              <w:rPr>
                <w:color w:val="1E293B"/>
                <w:sz w:val="17"/>
              </w:rPr>
              <w:t>406</w:t>
            </w:r>
          </w:p>
        </w:tc>
        <w:tc>
          <w:tcPr>
            <w:tcW w:type="dxa" w:w="624"/>
            <w:shd w:val="clear" w:color="auto" w:fill="F8FAFC"/>
          </w:tcPr>
          <w:p>
            <w:pPr>
              <w:jc w:val="left"/>
            </w:pPr>
            <w:r>
              <w:rPr>
                <w:color w:val="1E293B"/>
                <w:sz w:val="17"/>
              </w:rPr>
              <w:t>10299</w:t>
            </w:r>
          </w:p>
        </w:tc>
        <w:tc>
          <w:tcPr>
            <w:tcW w:type="dxa" w:w="624"/>
            <w:shd w:val="clear" w:color="auto" w:fill="F8FAFC"/>
          </w:tcPr>
          <w:p>
            <w:pPr>
              <w:jc w:val="left"/>
            </w:pPr>
            <w:r>
              <w:rPr>
                <w:color w:val="1E293B"/>
                <w:sz w:val="17"/>
              </w:rPr>
              <w:t>22999.0</w:t>
            </w:r>
          </w:p>
        </w:tc>
        <w:tc>
          <w:tcPr>
            <w:tcW w:type="dxa" w:w="624"/>
            <w:shd w:val="clear" w:color="auto" w:fill="F8FAFC"/>
          </w:tcPr>
          <w:p>
            <w:pPr>
              <w:jc w:val="left"/>
            </w:pPr>
            <w:r>
              <w:rPr>
                <w:color w:val="1E293B"/>
                <w:sz w:val="17"/>
              </w:rPr>
              <w:t>86500</w:t>
            </w:r>
          </w:p>
        </w:tc>
        <w:tc>
          <w:tcPr>
            <w:tcW w:type="dxa" w:w="624"/>
            <w:shd w:val="clear" w:color="auto" w:fill="F8FAFC"/>
          </w:tcPr>
          <w:p>
            <w:pPr>
              <w:jc w:val="left"/>
            </w:pPr>
            <w:r>
              <w:rPr>
                <w:color w:val="1E293B"/>
                <w:sz w:val="17"/>
              </w:rPr>
              <w:t>82.0</w:t>
            </w:r>
          </w:p>
        </w:tc>
        <w:tc>
          <w:tcPr>
            <w:tcW w:type="dxa" w:w="624"/>
            <w:shd w:val="clear" w:color="auto" w:fill="F8FAFC"/>
          </w:tcPr>
          <w:p>
            <w:pPr>
              <w:jc w:val="left"/>
            </w:pPr>
            <w:r>
              <w:rPr>
                <w:color w:val="1E293B"/>
                <w:sz w:val="17"/>
              </w:rPr>
              <w:t>8.0</w:t>
            </w:r>
          </w:p>
        </w:tc>
        <w:tc>
          <w:tcPr>
            <w:tcW w:type="dxa" w:w="624"/>
            <w:shd w:val="clear" w:color="auto" w:fill="F8FAFC"/>
          </w:tcPr>
          <w:p>
            <w:pPr>
              <w:jc w:val="left"/>
            </w:pPr>
            <w:r>
              <w:rPr>
                <w:color w:val="1E293B"/>
                <w:sz w:val="17"/>
              </w:rPr>
              <w:t>256.0</w:t>
            </w:r>
          </w:p>
        </w:tc>
        <w:tc>
          <w:tcPr>
            <w:tcW w:type="dxa" w:w="624"/>
            <w:shd w:val="clear" w:color="auto" w:fill="F8FAFC"/>
          </w:tcPr>
          <w:p>
            <w:pPr>
              <w:jc w:val="left"/>
            </w:pPr>
            <w:r>
              <w:rPr>
                <w:color w:val="1E293B"/>
                <w:sz w:val="17"/>
              </w:rPr>
              <w:t>2.5</w:t>
            </w:r>
          </w:p>
        </w:tc>
        <w:tc>
          <w:tcPr>
            <w:tcW w:type="dxa" w:w="624"/>
            <w:shd w:val="clear" w:color="auto" w:fill="F8FAFC"/>
          </w:tcPr>
          <w:p>
            <w:pPr>
              <w:jc w:val="left"/>
            </w:pPr>
            <w:r>
              <w:rPr>
                <w:color w:val="1E293B"/>
                <w:sz w:val="17"/>
              </w:rPr>
              <w:t>120.0</w:t>
            </w:r>
          </w:p>
        </w:tc>
        <w:tc>
          <w:tcPr>
            <w:tcW w:type="dxa" w:w="624"/>
            <w:shd w:val="clear" w:color="auto" w:fill="F8FAFC"/>
          </w:tcPr>
          <w:p>
            <w:pPr>
              <w:jc w:val="left"/>
            </w:pPr>
            <w:r>
              <w:rPr>
                <w:color w:val="1E293B"/>
                <w:sz w:val="17"/>
              </w:rPr>
              <w:t>50.0</w:t>
            </w:r>
          </w:p>
        </w:tc>
        <w:tc>
          <w:tcPr>
            <w:tcW w:type="dxa" w:w="624"/>
            <w:shd w:val="clear" w:color="auto" w:fill="F8FAFC"/>
          </w:tcPr>
          <w:p>
            <w:pPr>
              <w:jc w:val="left"/>
            </w:pPr>
            <w:r>
              <w:rPr>
                <w:color w:val="1E293B"/>
                <w:sz w:val="17"/>
              </w:rPr>
              <w:t>5500.0</w:t>
            </w:r>
          </w:p>
        </w:tc>
        <w:tc>
          <w:tcPr>
            <w:tcW w:type="dxa" w:w="624"/>
            <w:shd w:val="clear" w:color="auto" w:fill="F8FAFC"/>
          </w:tcPr>
          <w:p>
            <w:pPr>
              <w:jc w:val="left"/>
            </w:pPr>
            <w:r>
              <w:rPr>
                <w:color w:val="1E293B"/>
                <w:sz w:val="17"/>
              </w:rPr>
              <w:t>99.8</w:t>
            </w:r>
          </w:p>
        </w:tc>
        <w:tc>
          <w:tcPr>
            <w:tcW w:type="dxa" w:w="624"/>
            <w:shd w:val="clear" w:color="auto" w:fill="F8FAFC"/>
          </w:tcPr>
          <w:p>
            <w:pPr>
              <w:jc w:val="left"/>
            </w:pPr>
            <w:r>
              <w:rPr>
                <w:color w:val="1E293B"/>
                <w:sz w:val="17"/>
              </w:rPr>
              <w:t>40.4</w:t>
            </w:r>
          </w:p>
        </w:tc>
        <w:tc>
          <w:tcPr>
            <w:tcW w:type="dxa" w:w="624"/>
            <w:shd w:val="clear" w:color="auto" w:fill="F8FAFC"/>
          </w:tcPr>
          <w:p>
            <w:pPr>
              <w:jc w:val="left"/>
            </w:pPr>
            <w:r>
              <w:rPr>
                <w:color w:val="1E293B"/>
                <w:sz w:val="17"/>
              </w:rPr>
              <w:t>53.56</w:t>
            </w:r>
          </w:p>
        </w:tc>
      </w:tr>
      <w:tr>
        <w:tc>
          <w:tcPr>
            <w:tcW w:type="dxa" w:w="624"/>
            <w:shd w:val="clear" w:color="auto" w:fill="FFFFFF"/>
          </w:tcPr>
          <w:p>
            <w:pPr>
              <w:jc w:val="left"/>
            </w:pPr>
            <w:r>
              <w:rPr>
                <w:color w:val="1E293B"/>
                <w:sz w:val="17"/>
              </w:rPr>
              <w:t>Ultra-Premium Flagship Tier</w:t>
            </w:r>
          </w:p>
        </w:tc>
        <w:tc>
          <w:tcPr>
            <w:tcW w:type="dxa" w:w="624"/>
            <w:shd w:val="clear" w:color="auto" w:fill="FFFFFF"/>
          </w:tcPr>
          <w:p>
            <w:pPr>
              <w:jc w:val="left"/>
            </w:pPr>
            <w:r>
              <w:rPr>
                <w:color w:val="1E293B"/>
                <w:sz w:val="17"/>
              </w:rPr>
              <w:t>84</w:t>
            </w:r>
          </w:p>
        </w:tc>
        <w:tc>
          <w:tcPr>
            <w:tcW w:type="dxa" w:w="624"/>
            <w:shd w:val="clear" w:color="auto" w:fill="FFFFFF"/>
          </w:tcPr>
          <w:p>
            <w:pPr>
              <w:jc w:val="left"/>
            </w:pPr>
            <w:r>
              <w:rPr>
                <w:color w:val="1E293B"/>
                <w:sz w:val="17"/>
              </w:rPr>
              <w:t>39999</w:t>
            </w:r>
          </w:p>
        </w:tc>
        <w:tc>
          <w:tcPr>
            <w:tcW w:type="dxa" w:w="624"/>
            <w:shd w:val="clear" w:color="auto" w:fill="FFFFFF"/>
          </w:tcPr>
          <w:p>
            <w:pPr>
              <w:jc w:val="left"/>
            </w:pPr>
            <w:r>
              <w:rPr>
                <w:color w:val="1E293B"/>
                <w:sz w:val="17"/>
              </w:rPr>
              <w:t>89999.0</w:t>
            </w:r>
          </w:p>
        </w:tc>
        <w:tc>
          <w:tcPr>
            <w:tcW w:type="dxa" w:w="624"/>
            <w:shd w:val="clear" w:color="auto" w:fill="FFFFFF"/>
          </w:tcPr>
          <w:p>
            <w:pPr>
              <w:jc w:val="left"/>
            </w:pPr>
            <w:r>
              <w:rPr>
                <w:color w:val="1E293B"/>
                <w:sz w:val="17"/>
              </w:rPr>
              <w:t>229900</w:t>
            </w:r>
          </w:p>
        </w:tc>
        <w:tc>
          <w:tcPr>
            <w:tcW w:type="dxa" w:w="624"/>
            <w:shd w:val="clear" w:color="auto" w:fill="FFFFFF"/>
          </w:tcPr>
          <w:p>
            <w:pPr>
              <w:jc w:val="left"/>
            </w:pPr>
            <w:r>
              <w:rPr>
                <w:color w:val="1E293B"/>
                <w:sz w:val="17"/>
              </w:rPr>
              <w:t>89.0</w:t>
            </w:r>
          </w:p>
        </w:tc>
        <w:tc>
          <w:tcPr>
            <w:tcW w:type="dxa" w:w="624"/>
            <w:shd w:val="clear" w:color="auto" w:fill="FFFFFF"/>
          </w:tcPr>
          <w:p>
            <w:pPr>
              <w:jc w:val="left"/>
            </w:pPr>
            <w:r>
              <w:rPr>
                <w:color w:val="1E293B"/>
                <w:sz w:val="17"/>
              </w:rPr>
              <w:t>12.0</w:t>
            </w:r>
          </w:p>
        </w:tc>
        <w:tc>
          <w:tcPr>
            <w:tcW w:type="dxa" w:w="624"/>
            <w:shd w:val="clear" w:color="auto" w:fill="FFFFFF"/>
          </w:tcPr>
          <w:p>
            <w:pPr>
              <w:jc w:val="left"/>
            </w:pPr>
            <w:r>
              <w:rPr>
                <w:color w:val="1E293B"/>
                <w:sz w:val="17"/>
              </w:rPr>
              <w:t>512.0</w:t>
            </w:r>
          </w:p>
        </w:tc>
        <w:tc>
          <w:tcPr>
            <w:tcW w:type="dxa" w:w="624"/>
            <w:shd w:val="clear" w:color="auto" w:fill="FFFFFF"/>
          </w:tcPr>
          <w:p>
            <w:pPr>
              <w:jc w:val="left"/>
            </w:pPr>
            <w:r>
              <w:rPr>
                <w:color w:val="1E293B"/>
                <w:sz w:val="17"/>
              </w:rPr>
              <w:t>3.91</w:t>
            </w:r>
          </w:p>
        </w:tc>
        <w:tc>
          <w:tcPr>
            <w:tcW w:type="dxa" w:w="624"/>
            <w:shd w:val="clear" w:color="auto" w:fill="FFFFFF"/>
          </w:tcPr>
          <w:p>
            <w:pPr>
              <w:jc w:val="left"/>
            </w:pPr>
            <w:r>
              <w:rPr>
                <w:color w:val="1E293B"/>
                <w:sz w:val="17"/>
              </w:rPr>
              <w:t>120.0</w:t>
            </w:r>
          </w:p>
        </w:tc>
        <w:tc>
          <w:tcPr>
            <w:tcW w:type="dxa" w:w="624"/>
            <w:shd w:val="clear" w:color="auto" w:fill="FFFFFF"/>
          </w:tcPr>
          <w:p>
            <w:pPr>
              <w:jc w:val="left"/>
            </w:pPr>
            <w:r>
              <w:rPr>
                <w:color w:val="1E293B"/>
                <w:sz w:val="17"/>
              </w:rPr>
              <w:t>27.0</w:t>
            </w:r>
          </w:p>
        </w:tc>
        <w:tc>
          <w:tcPr>
            <w:tcW w:type="dxa" w:w="624"/>
            <w:shd w:val="clear" w:color="auto" w:fill="FFFFFF"/>
          </w:tcPr>
          <w:p>
            <w:pPr>
              <w:jc w:val="left"/>
            </w:pPr>
            <w:r>
              <w:rPr>
                <w:color w:val="1E293B"/>
                <w:sz w:val="17"/>
              </w:rPr>
              <w:t>4692.5</w:t>
            </w:r>
          </w:p>
        </w:tc>
        <w:tc>
          <w:tcPr>
            <w:tcW w:type="dxa" w:w="624"/>
            <w:shd w:val="clear" w:color="auto" w:fill="FFFFFF"/>
          </w:tcPr>
          <w:p>
            <w:pPr>
              <w:jc w:val="left"/>
            </w:pPr>
            <w:r>
              <w:rPr>
                <w:color w:val="1E293B"/>
                <w:sz w:val="17"/>
              </w:rPr>
              <w:t>100.0</w:t>
            </w:r>
          </w:p>
        </w:tc>
        <w:tc>
          <w:tcPr>
            <w:tcW w:type="dxa" w:w="624"/>
            <w:shd w:val="clear" w:color="auto" w:fill="FFFFFF"/>
          </w:tcPr>
          <w:p>
            <w:pPr>
              <w:jc w:val="left"/>
            </w:pPr>
            <w:r>
              <w:rPr>
                <w:color w:val="1E293B"/>
                <w:sz w:val="17"/>
              </w:rPr>
              <w:t>98.8</w:t>
            </w:r>
          </w:p>
        </w:tc>
        <w:tc>
          <w:tcPr>
            <w:tcW w:type="dxa" w:w="624"/>
            <w:shd w:val="clear" w:color="auto" w:fill="FFFFFF"/>
          </w:tcPr>
          <w:p>
            <w:pPr>
              <w:jc w:val="left"/>
            </w:pPr>
            <w:r>
              <w:rPr>
                <w:color w:val="1E293B"/>
                <w:sz w:val="17"/>
              </w:rPr>
              <w:t>11.08</w:t>
            </w:r>
          </w:p>
        </w:tc>
      </w:tr>
    </w:tbl>
    <w:p>
      <w:pPr>
        <w:spacing w:after="120"/>
      </w:pPr>
    </w:p>
    <w:p>
      <w:pPr>
        <w:pStyle w:val="Heading1"/>
        <w:keepNext/>
        <w:spacing w:before="240" w:after="80"/>
      </w:pPr>
      <w:r>
        <w:rPr>
          <w:b/>
          <w:color w:val="1E3A8A"/>
          <w:sz w:val="32"/>
        </w:rPr>
        <w:t>16. Value Analysis (The Pareto Frontier)</w:t>
      </w:r>
    </w:p>
    <w:p>
      <w:r>
        <w:t>Multi-criteria Pareto optimization isolated 24 non-dominated 'value-frontier candidates' delivering maximal technical/specification rating scores for any given price ceiling. Standout benchmark models include Tecno Pop 9 5G (₹9,399, rating 73), POCO C71 (₹6,798, rating 63), and iQOO Z10 5G (₹20,998, rating 87 with 7,300 mAh battery).</w:t>
      </w:r>
    </w:p>
    <w:p>
      <w:pPr>
        <w:spacing w:before="160" w:after="40"/>
        <w:jc w:val="center"/>
      </w:pPr>
      <w:r>
        <w:drawing>
          <wp:inline xmlns:a="http://schemas.openxmlformats.org/drawingml/2006/main" xmlns:pic="http://schemas.openxmlformats.org/drawingml/2006/picture">
            <wp:extent cx="5669280" cy="3004193"/>
            <wp:docPr id="15" name="Picture 15"/>
            <wp:cNvGraphicFramePr>
              <a:graphicFrameLocks noChangeAspect="1"/>
            </wp:cNvGraphicFramePr>
            <a:graphic>
              <a:graphicData uri="http://schemas.openxmlformats.org/drawingml/2006/picture">
                <pic:pic>
                  <pic:nvPicPr>
                    <pic:cNvPr id="0" name="15_value_frontier_pareto.png"/>
                    <pic:cNvPicPr/>
                  </pic:nvPicPr>
                  <pic:blipFill>
                    <a:blip r:embed="rId23"/>
                    <a:stretch>
                      <a:fillRect/>
                    </a:stretch>
                  </pic:blipFill>
                  <pic:spPr>
                    <a:xfrm>
                      <a:off x="0" y="0"/>
                      <a:ext cx="5669280" cy="3004193"/>
                    </a:xfrm>
                    <a:prstGeom prst="rect"/>
                  </pic:spPr>
                </pic:pic>
              </a:graphicData>
            </a:graphic>
          </wp:inline>
        </w:drawing>
      </w:r>
    </w:p>
    <w:p>
      <w:pPr>
        <w:spacing w:after="200"/>
        <w:jc w:val="center"/>
      </w:pPr>
      <w:r>
        <w:rPr>
          <w:i/>
          <w:color w:val="64748B"/>
          <w:sz w:val="17"/>
        </w:rPr>
        <w:t>Figure 14: Pareto Efficiency Frontier (Spec Bargains)</w:t>
      </w:r>
    </w:p>
    <w:tbl>
      <w:tblPr>
        <w:tblW w:type="auto" w:w="0"/>
        <w:jc w:val="center"/>
        <w:tblLayout w:type="fixed"/>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1E3A8A"/>
          </w:tcPr>
          <w:p>
            <w:pPr>
              <w:jc w:val="center"/>
            </w:pPr>
            <w:r>
              <w:rPr>
                <w:b/>
                <w:color w:val="FFFFFF"/>
                <w:sz w:val="18"/>
              </w:rPr>
              <w:t>model</w:t>
            </w:r>
          </w:p>
        </w:tc>
        <w:tc>
          <w:tcPr>
            <w:tcW w:type="dxa" w:w="720"/>
            <w:shd w:val="clear" w:color="auto" w:fill="1E3A8A"/>
          </w:tcPr>
          <w:p>
            <w:pPr>
              <w:jc w:val="center"/>
            </w:pPr>
            <w:r>
              <w:rPr>
                <w:b/>
                <w:color w:val="FFFFFF"/>
                <w:sz w:val="18"/>
              </w:rPr>
              <w:t>smartphone_brand</w:t>
            </w:r>
          </w:p>
        </w:tc>
        <w:tc>
          <w:tcPr>
            <w:tcW w:type="dxa" w:w="720"/>
            <w:shd w:val="clear" w:color="auto" w:fill="1E3A8A"/>
          </w:tcPr>
          <w:p>
            <w:pPr>
              <w:jc w:val="center"/>
            </w:pPr>
            <w:r>
              <w:rPr>
                <w:b/>
                <w:color w:val="FFFFFF"/>
                <w:sz w:val="18"/>
              </w:rPr>
              <w:t>price_inr</w:t>
            </w:r>
          </w:p>
        </w:tc>
        <w:tc>
          <w:tcPr>
            <w:tcW w:type="dxa" w:w="720"/>
            <w:shd w:val="clear" w:color="auto" w:fill="1E3A8A"/>
          </w:tcPr>
          <w:p>
            <w:pPr>
              <w:jc w:val="center"/>
            </w:pPr>
            <w:r>
              <w:rPr>
                <w:b/>
                <w:color w:val="FFFFFF"/>
                <w:sz w:val="18"/>
              </w:rPr>
              <w:t>rating_score</w:t>
            </w:r>
          </w:p>
        </w:tc>
        <w:tc>
          <w:tcPr>
            <w:tcW w:type="dxa" w:w="720"/>
            <w:shd w:val="clear" w:color="auto" w:fill="1E3A8A"/>
          </w:tcPr>
          <w:p>
            <w:pPr>
              <w:jc w:val="center"/>
            </w:pPr>
            <w:r>
              <w:rPr>
                <w:b/>
                <w:color w:val="FFFFFF"/>
                <w:sz w:val="18"/>
              </w:rPr>
              <w:t>ram_gb</w:t>
            </w:r>
          </w:p>
        </w:tc>
        <w:tc>
          <w:tcPr>
            <w:tcW w:type="dxa" w:w="720"/>
            <w:shd w:val="clear" w:color="auto" w:fill="1E3A8A"/>
          </w:tcPr>
          <w:p>
            <w:pPr>
              <w:jc w:val="center"/>
            </w:pPr>
            <w:r>
              <w:rPr>
                <w:b/>
                <w:color w:val="FFFFFF"/>
                <w:sz w:val="18"/>
              </w:rPr>
              <w:t>storage_gb</w:t>
            </w:r>
          </w:p>
        </w:tc>
        <w:tc>
          <w:tcPr>
            <w:tcW w:type="dxa" w:w="720"/>
            <w:shd w:val="clear" w:color="auto" w:fill="1E3A8A"/>
          </w:tcPr>
          <w:p>
            <w:pPr>
              <w:jc w:val="center"/>
            </w:pPr>
            <w:r>
              <w:rPr>
                <w:b/>
                <w:color w:val="FFFFFF"/>
                <w:sz w:val="18"/>
              </w:rPr>
              <w:t>processor_brand</w:t>
            </w:r>
          </w:p>
        </w:tc>
        <w:tc>
          <w:tcPr>
            <w:tcW w:type="dxa" w:w="720"/>
            <w:shd w:val="clear" w:color="auto" w:fill="1E3A8A"/>
          </w:tcPr>
          <w:p>
            <w:pPr>
              <w:jc w:val="center"/>
            </w:pPr>
            <w:r>
              <w:rPr>
                <w:b/>
                <w:color w:val="FFFFFF"/>
                <w:sz w:val="18"/>
              </w:rPr>
              <w:t>processor_name</w:t>
            </w:r>
          </w:p>
        </w:tc>
        <w:tc>
          <w:tcPr>
            <w:tcW w:type="dxa" w:w="720"/>
            <w:shd w:val="clear" w:color="auto" w:fill="1E3A8A"/>
          </w:tcPr>
          <w:p>
            <w:pPr>
              <w:jc w:val="center"/>
            </w:pPr>
            <w:r>
              <w:rPr>
                <w:b/>
                <w:color w:val="FFFFFF"/>
                <w:sz w:val="18"/>
              </w:rPr>
              <w:t>has_5g</w:t>
            </w:r>
          </w:p>
        </w:tc>
        <w:tc>
          <w:tcPr>
            <w:tcW w:type="dxa" w:w="720"/>
            <w:shd w:val="clear" w:color="auto" w:fill="1E3A8A"/>
          </w:tcPr>
          <w:p>
            <w:pPr>
              <w:jc w:val="center"/>
            </w:pPr>
            <w:r>
              <w:rPr>
                <w:b/>
                <w:color w:val="FFFFFF"/>
                <w:sz w:val="18"/>
              </w:rPr>
              <w:t>refresh_rate_hz</w:t>
            </w:r>
          </w:p>
        </w:tc>
        <w:tc>
          <w:tcPr>
            <w:tcW w:type="dxa" w:w="720"/>
            <w:shd w:val="clear" w:color="auto" w:fill="1E3A8A"/>
          </w:tcPr>
          <w:p>
            <w:pPr>
              <w:jc w:val="center"/>
            </w:pPr>
            <w:r>
              <w:rPr>
                <w:b/>
                <w:color w:val="FFFFFF"/>
                <w:sz w:val="18"/>
              </w:rPr>
              <w:t>charging_watt</w:t>
            </w:r>
          </w:p>
        </w:tc>
        <w:tc>
          <w:tcPr>
            <w:tcW w:type="dxa" w:w="720"/>
            <w:shd w:val="clear" w:color="auto" w:fill="1E3A8A"/>
          </w:tcPr>
          <w:p>
            <w:pPr>
              <w:jc w:val="center"/>
            </w:pPr>
            <w:r>
              <w:rPr>
                <w:b/>
                <w:color w:val="FFFFFF"/>
                <w:sz w:val="18"/>
              </w:rPr>
              <w:t>battery_mah</w:t>
            </w:r>
          </w:p>
        </w:tc>
        <w:tc>
          <w:tcPr>
            <w:tcW w:type="dxa" w:w="720"/>
            <w:shd w:val="clear" w:color="auto" w:fill="1E3A8A"/>
          </w:tcPr>
          <w:p>
            <w:pPr>
              <w:jc w:val="center"/>
            </w:pPr>
            <w:r>
              <w:rPr>
                <w:b/>
                <w:color w:val="FFFFFF"/>
                <w:sz w:val="18"/>
              </w:rPr>
              <w:t>value_ratio</w:t>
            </w:r>
          </w:p>
        </w:tc>
      </w:tr>
      <w:tr>
        <w:tc>
          <w:tcPr>
            <w:tcW w:type="dxa" w:w="720"/>
            <w:shd w:val="clear" w:color="auto" w:fill="FFFFFF"/>
          </w:tcPr>
          <w:p>
            <w:pPr>
              <w:jc w:val="left"/>
            </w:pPr>
            <w:r>
              <w:rPr>
                <w:color w:val="1E293B"/>
                <w:sz w:val="17"/>
              </w:rPr>
              <w:t>Peace Mini 5</w:t>
            </w:r>
          </w:p>
        </w:tc>
        <w:tc>
          <w:tcPr>
            <w:tcW w:type="dxa" w:w="720"/>
            <w:shd w:val="clear" w:color="auto" w:fill="FFFFFF"/>
          </w:tcPr>
          <w:p>
            <w:pPr>
              <w:jc w:val="left"/>
            </w:pPr>
            <w:r>
              <w:rPr>
                <w:color w:val="1E293B"/>
                <w:sz w:val="17"/>
              </w:rPr>
              <w:t>peace</w:t>
            </w:r>
          </w:p>
        </w:tc>
        <w:tc>
          <w:tcPr>
            <w:tcW w:type="dxa" w:w="720"/>
            <w:shd w:val="clear" w:color="auto" w:fill="FFFFFF"/>
          </w:tcPr>
          <w:p>
            <w:pPr>
              <w:jc w:val="left"/>
            </w:pPr>
            <w:r>
              <w:rPr>
                <w:color w:val="1E293B"/>
                <w:sz w:val="17"/>
              </w:rPr>
              <w:t>4040</w:t>
            </w:r>
          </w:p>
        </w:tc>
        <w:tc>
          <w:tcPr>
            <w:tcW w:type="dxa" w:w="720"/>
            <w:shd w:val="clear" w:color="auto" w:fill="FFFFFF"/>
          </w:tcPr>
          <w:p>
            <w:pPr>
              <w:jc w:val="left"/>
            </w:pPr>
            <w:r>
              <w:rPr>
                <w:color w:val="1E293B"/>
                <w:sz w:val="17"/>
              </w:rPr>
              <w:t>37</w:t>
            </w:r>
          </w:p>
        </w:tc>
        <w:tc>
          <w:tcPr>
            <w:tcW w:type="dxa" w:w="720"/>
            <w:shd w:val="clear" w:color="auto" w:fill="FFFFFF"/>
          </w:tcPr>
          <w:p>
            <w:pPr>
              <w:jc w:val="left"/>
            </w:pPr>
            <w:r>
              <w:rPr>
                <w:color w:val="1E293B"/>
                <w:sz w:val="17"/>
              </w:rPr>
              <w:t>3</w:t>
            </w:r>
          </w:p>
        </w:tc>
        <w:tc>
          <w:tcPr>
            <w:tcW w:type="dxa" w:w="720"/>
            <w:shd w:val="clear" w:color="auto" w:fill="FFFFFF"/>
          </w:tcPr>
          <w:p>
            <w:pPr>
              <w:jc w:val="left"/>
            </w:pPr>
            <w:r>
              <w:rPr>
                <w:color w:val="1E293B"/>
                <w:sz w:val="17"/>
              </w:rPr>
              <w:t>32</w:t>
            </w:r>
          </w:p>
        </w:tc>
        <w:tc>
          <w:tcPr>
            <w:tcW w:type="dxa" w:w="720"/>
            <w:shd w:val="clear" w:color="auto" w:fill="FFFFFF"/>
          </w:tcPr>
          <w:p>
            <w:pPr>
              <w:jc w:val="left"/>
            </w:pPr>
            <w:r>
              <w:rPr>
                <w:color w:val="1E293B"/>
                <w:sz w:val="17"/>
              </w:rPr>
              <w:t>mediatek</w:t>
            </w:r>
          </w:p>
        </w:tc>
        <w:tc>
          <w:tcPr>
            <w:tcW w:type="dxa" w:w="720"/>
            <w:shd w:val="clear" w:color="auto" w:fill="FFFFFF"/>
          </w:tcPr>
          <w:p>
            <w:pPr>
              <w:jc w:val="left"/>
            </w:pPr>
            <w:r>
              <w:rPr>
                <w:color w:val="1E293B"/>
                <w:sz w:val="17"/>
              </w:rPr>
              <w:t>mediatek helio</w:t>
            </w:r>
          </w:p>
        </w:tc>
        <w:tc>
          <w:tcPr>
            <w:tcW w:type="dxa" w:w="720"/>
            <w:shd w:val="clear" w:color="auto" w:fill="FFFFFF"/>
          </w:tcPr>
          <w:p>
            <w:pPr>
              <w:jc w:val="left"/>
            </w:pPr>
            <w:r>
              <w:rPr>
                <w:color w:val="1E293B"/>
                <w:sz w:val="17"/>
              </w:rPr>
              <w:t>False</w:t>
            </w:r>
          </w:p>
        </w:tc>
        <w:tc>
          <w:tcPr>
            <w:tcW w:type="dxa" w:w="720"/>
            <w:shd w:val="clear" w:color="auto" w:fill="FFFFFF"/>
          </w:tcPr>
          <w:p>
            <w:pPr>
              <w:jc w:val="left"/>
            </w:pPr>
            <w:r>
              <w:rPr>
                <w:color w:val="1E293B"/>
                <w:sz w:val="17"/>
              </w:rPr>
              <w:t>60</w:t>
            </w:r>
          </w:p>
        </w:tc>
        <w:tc>
          <w:tcPr>
            <w:tcW w:type="dxa" w:w="720"/>
            <w:shd w:val="clear" w:color="auto" w:fill="FFFFFF"/>
          </w:tcPr>
          <w:p>
            <w:pPr>
              <w:jc w:val="left"/>
            </w:pPr>
            <w:r>
              <w:rPr>
                <w:color w:val="1E293B"/>
                <w:sz w:val="17"/>
              </w:rPr>
              <w:t>10.0</w:t>
            </w:r>
          </w:p>
        </w:tc>
        <w:tc>
          <w:tcPr>
            <w:tcW w:type="dxa" w:w="720"/>
            <w:shd w:val="clear" w:color="auto" w:fill="FFFFFF"/>
          </w:tcPr>
          <w:p>
            <w:pPr>
              <w:jc w:val="left"/>
            </w:pPr>
            <w:r>
              <w:rPr>
                <w:color w:val="1E293B"/>
                <w:sz w:val="17"/>
              </w:rPr>
              <w:t>2000</w:t>
            </w:r>
          </w:p>
        </w:tc>
        <w:tc>
          <w:tcPr>
            <w:tcW w:type="dxa" w:w="720"/>
            <w:shd w:val="clear" w:color="auto" w:fill="FFFFFF"/>
          </w:tcPr>
          <w:p>
            <w:pPr>
              <w:jc w:val="left"/>
            </w:pPr>
            <w:r>
              <w:rPr>
                <w:color w:val="1E293B"/>
                <w:sz w:val="17"/>
              </w:rPr>
              <w:t>9.16</w:t>
            </w:r>
          </w:p>
        </w:tc>
      </w:tr>
      <w:tr>
        <w:tc>
          <w:tcPr>
            <w:tcW w:type="dxa" w:w="720"/>
            <w:shd w:val="clear" w:color="auto" w:fill="F8FAFC"/>
          </w:tcPr>
          <w:p>
            <w:pPr>
              <w:jc w:val="left"/>
            </w:pPr>
            <w:r>
              <w:rPr>
                <w:color w:val="1E293B"/>
                <w:sz w:val="17"/>
              </w:rPr>
              <w:t>Peace Mini 4</w:t>
            </w:r>
          </w:p>
        </w:tc>
        <w:tc>
          <w:tcPr>
            <w:tcW w:type="dxa" w:w="720"/>
            <w:shd w:val="clear" w:color="auto" w:fill="F8FAFC"/>
          </w:tcPr>
          <w:p>
            <w:pPr>
              <w:jc w:val="left"/>
            </w:pPr>
            <w:r>
              <w:rPr>
                <w:color w:val="1E293B"/>
                <w:sz w:val="17"/>
              </w:rPr>
              <w:t>peace</w:t>
            </w:r>
          </w:p>
        </w:tc>
        <w:tc>
          <w:tcPr>
            <w:tcW w:type="dxa" w:w="720"/>
            <w:shd w:val="clear" w:color="auto" w:fill="F8FAFC"/>
          </w:tcPr>
          <w:p>
            <w:pPr>
              <w:jc w:val="left"/>
            </w:pPr>
            <w:r>
              <w:rPr>
                <w:color w:val="1E293B"/>
                <w:sz w:val="17"/>
              </w:rPr>
              <w:t>4649</w:t>
            </w:r>
          </w:p>
        </w:tc>
        <w:tc>
          <w:tcPr>
            <w:tcW w:type="dxa" w:w="720"/>
            <w:shd w:val="clear" w:color="auto" w:fill="F8FAFC"/>
          </w:tcPr>
          <w:p>
            <w:pPr>
              <w:jc w:val="left"/>
            </w:pPr>
            <w:r>
              <w:rPr>
                <w:color w:val="1E293B"/>
                <w:sz w:val="17"/>
              </w:rPr>
              <w:t>40</w:t>
            </w:r>
          </w:p>
        </w:tc>
        <w:tc>
          <w:tcPr>
            <w:tcW w:type="dxa" w:w="720"/>
            <w:shd w:val="clear" w:color="auto" w:fill="F8FAFC"/>
          </w:tcPr>
          <w:p>
            <w:pPr>
              <w:jc w:val="left"/>
            </w:pPr>
            <w:r>
              <w:rPr>
                <w:color w:val="1E293B"/>
                <w:sz w:val="17"/>
              </w:rPr>
              <w:t>3</w:t>
            </w:r>
          </w:p>
        </w:tc>
        <w:tc>
          <w:tcPr>
            <w:tcW w:type="dxa" w:w="720"/>
            <w:shd w:val="clear" w:color="auto" w:fill="F8FAFC"/>
          </w:tcPr>
          <w:p>
            <w:pPr>
              <w:jc w:val="left"/>
            </w:pPr>
            <w:r>
              <w:rPr>
                <w:color w:val="1E293B"/>
                <w:sz w:val="17"/>
              </w:rPr>
              <w:t>32</w:t>
            </w:r>
          </w:p>
        </w:tc>
        <w:tc>
          <w:tcPr>
            <w:tcW w:type="dxa" w:w="720"/>
            <w:shd w:val="clear" w:color="auto" w:fill="F8FAFC"/>
          </w:tcPr>
          <w:p>
            <w:pPr>
              <w:jc w:val="left"/>
            </w:pPr>
            <w:r>
              <w:rPr>
                <w:color w:val="1E293B"/>
                <w:sz w:val="17"/>
              </w:rPr>
              <w:t>mediatek</w:t>
            </w:r>
          </w:p>
        </w:tc>
        <w:tc>
          <w:tcPr>
            <w:tcW w:type="dxa" w:w="720"/>
            <w:shd w:val="clear" w:color="auto" w:fill="F8FAFC"/>
          </w:tcPr>
          <w:p>
            <w:pPr>
              <w:jc w:val="left"/>
            </w:pPr>
            <w:r>
              <w:rPr>
                <w:color w:val="1E293B"/>
                <w:sz w:val="17"/>
              </w:rPr>
              <w:t>mediatek helio</w:t>
            </w:r>
          </w:p>
        </w:tc>
        <w:tc>
          <w:tcPr>
            <w:tcW w:type="dxa" w:w="720"/>
            <w:shd w:val="clear" w:color="auto" w:fill="F8FAFC"/>
          </w:tcPr>
          <w:p>
            <w:pPr>
              <w:jc w:val="left"/>
            </w:pPr>
            <w:r>
              <w:rPr>
                <w:color w:val="1E293B"/>
                <w:sz w:val="17"/>
              </w:rPr>
              <w:t>False</w:t>
            </w:r>
          </w:p>
        </w:tc>
        <w:tc>
          <w:tcPr>
            <w:tcW w:type="dxa" w:w="720"/>
            <w:shd w:val="clear" w:color="auto" w:fill="F8FAFC"/>
          </w:tcPr>
          <w:p>
            <w:pPr>
              <w:jc w:val="left"/>
            </w:pPr>
            <w:r>
              <w:rPr>
                <w:color w:val="1E293B"/>
                <w:sz w:val="17"/>
              </w:rPr>
              <w:t>60</w:t>
            </w:r>
          </w:p>
        </w:tc>
        <w:tc>
          <w:tcPr>
            <w:tcW w:type="dxa" w:w="720"/>
            <w:shd w:val="clear" w:color="auto" w:fill="F8FAFC"/>
          </w:tcPr>
          <w:p>
            <w:pPr>
              <w:jc w:val="left"/>
            </w:pPr>
            <w:r>
              <w:rPr>
                <w:color w:val="1E293B"/>
                <w:sz w:val="17"/>
              </w:rPr>
              <w:t>10.0</w:t>
            </w:r>
          </w:p>
        </w:tc>
        <w:tc>
          <w:tcPr>
            <w:tcW w:type="dxa" w:w="720"/>
            <w:shd w:val="clear" w:color="auto" w:fill="F8FAFC"/>
          </w:tcPr>
          <w:p>
            <w:pPr>
              <w:jc w:val="left"/>
            </w:pPr>
            <w:r>
              <w:rPr>
                <w:color w:val="1E293B"/>
                <w:sz w:val="17"/>
              </w:rPr>
              <w:t>2000</w:t>
            </w:r>
          </w:p>
        </w:tc>
        <w:tc>
          <w:tcPr>
            <w:tcW w:type="dxa" w:w="720"/>
            <w:shd w:val="clear" w:color="auto" w:fill="F8FAFC"/>
          </w:tcPr>
          <w:p>
            <w:pPr>
              <w:jc w:val="left"/>
            </w:pPr>
            <w:r>
              <w:rPr>
                <w:color w:val="1E293B"/>
                <w:sz w:val="17"/>
              </w:rPr>
              <w:t>8.6</w:t>
            </w:r>
          </w:p>
        </w:tc>
      </w:tr>
      <w:tr>
        <w:tc>
          <w:tcPr>
            <w:tcW w:type="dxa" w:w="720"/>
            <w:shd w:val="clear" w:color="auto" w:fill="FFFFFF"/>
          </w:tcPr>
          <w:p>
            <w:pPr>
              <w:jc w:val="left"/>
            </w:pPr>
            <w:r>
              <w:rPr>
                <w:color w:val="1E293B"/>
                <w:sz w:val="17"/>
              </w:rPr>
              <w:t>itel A50C</w:t>
            </w:r>
          </w:p>
        </w:tc>
        <w:tc>
          <w:tcPr>
            <w:tcW w:type="dxa" w:w="720"/>
            <w:shd w:val="clear" w:color="auto" w:fill="FFFFFF"/>
          </w:tcPr>
          <w:p>
            <w:pPr>
              <w:jc w:val="left"/>
            </w:pPr>
            <w:r>
              <w:rPr>
                <w:color w:val="1E293B"/>
                <w:sz w:val="17"/>
              </w:rPr>
              <w:t>itel</w:t>
            </w:r>
          </w:p>
        </w:tc>
        <w:tc>
          <w:tcPr>
            <w:tcW w:type="dxa" w:w="720"/>
            <w:shd w:val="clear" w:color="auto" w:fill="FFFFFF"/>
          </w:tcPr>
          <w:p>
            <w:pPr>
              <w:jc w:val="left"/>
            </w:pPr>
            <w:r>
              <w:rPr>
                <w:color w:val="1E293B"/>
                <w:sz w:val="17"/>
              </w:rPr>
              <w:t>5498</w:t>
            </w:r>
          </w:p>
        </w:tc>
        <w:tc>
          <w:tcPr>
            <w:tcW w:type="dxa" w:w="720"/>
            <w:shd w:val="clear" w:color="auto" w:fill="FFFFFF"/>
          </w:tcPr>
          <w:p>
            <w:pPr>
              <w:jc w:val="left"/>
            </w:pPr>
            <w:r>
              <w:rPr>
                <w:color w:val="1E293B"/>
                <w:sz w:val="17"/>
              </w:rPr>
              <w:t>48</w:t>
            </w:r>
          </w:p>
        </w:tc>
        <w:tc>
          <w:tcPr>
            <w:tcW w:type="dxa" w:w="720"/>
            <w:shd w:val="clear" w:color="auto" w:fill="FFFFFF"/>
          </w:tcPr>
          <w:p>
            <w:pPr>
              <w:jc w:val="left"/>
            </w:pPr>
            <w:r>
              <w:rPr>
                <w:color w:val="1E293B"/>
                <w:sz w:val="17"/>
              </w:rPr>
              <w:t>2</w:t>
            </w:r>
          </w:p>
        </w:tc>
        <w:tc>
          <w:tcPr>
            <w:tcW w:type="dxa" w:w="720"/>
            <w:shd w:val="clear" w:color="auto" w:fill="FFFFFF"/>
          </w:tcPr>
          <w:p>
            <w:pPr>
              <w:jc w:val="left"/>
            </w:pPr>
            <w:r>
              <w:rPr>
                <w:color w:val="1E293B"/>
                <w:sz w:val="17"/>
              </w:rPr>
              <w:t>32</w:t>
            </w:r>
          </w:p>
        </w:tc>
        <w:tc>
          <w:tcPr>
            <w:tcW w:type="dxa" w:w="720"/>
            <w:shd w:val="clear" w:color="auto" w:fill="FFFFFF"/>
          </w:tcPr>
          <w:p>
            <w:pPr>
              <w:jc w:val="left"/>
            </w:pPr>
            <w:r>
              <w:rPr>
                <w:color w:val="1E293B"/>
                <w:sz w:val="17"/>
              </w:rPr>
              <w:t>unisoc</w:t>
            </w:r>
          </w:p>
        </w:tc>
        <w:tc>
          <w:tcPr>
            <w:tcW w:type="dxa" w:w="720"/>
            <w:shd w:val="clear" w:color="auto" w:fill="FFFFFF"/>
          </w:tcPr>
          <w:p>
            <w:pPr>
              <w:jc w:val="left"/>
            </w:pPr>
            <w:r>
              <w:rPr>
                <w:color w:val="1E293B"/>
                <w:sz w:val="17"/>
              </w:rPr>
              <w:t>unisoc t603</w:t>
            </w:r>
          </w:p>
        </w:tc>
        <w:tc>
          <w:tcPr>
            <w:tcW w:type="dxa" w:w="720"/>
            <w:shd w:val="clear" w:color="auto" w:fill="FFFFFF"/>
          </w:tcPr>
          <w:p>
            <w:pPr>
              <w:jc w:val="left"/>
            </w:pPr>
            <w:r>
              <w:rPr>
                <w:color w:val="1E293B"/>
                <w:sz w:val="17"/>
              </w:rPr>
              <w:t>False</w:t>
            </w:r>
          </w:p>
        </w:tc>
        <w:tc>
          <w:tcPr>
            <w:tcW w:type="dxa" w:w="720"/>
            <w:shd w:val="clear" w:color="auto" w:fill="FFFFFF"/>
          </w:tcPr>
          <w:p>
            <w:pPr>
              <w:jc w:val="left"/>
            </w:pPr>
            <w:r>
              <w:rPr>
                <w:color w:val="1E293B"/>
                <w:sz w:val="17"/>
              </w:rPr>
              <w:t>60</w:t>
            </w:r>
          </w:p>
        </w:tc>
        <w:tc>
          <w:tcPr>
            <w:tcW w:type="dxa" w:w="720"/>
            <w:shd w:val="clear" w:color="auto" w:fill="FFFFFF"/>
          </w:tcPr>
          <w:p>
            <w:pPr>
              <w:jc w:val="left"/>
            </w:pPr>
            <w:r>
              <w:rPr>
                <w:color w:val="1E293B"/>
                <w:sz w:val="17"/>
              </w:rPr>
              <w:t>5.0</w:t>
            </w:r>
          </w:p>
        </w:tc>
        <w:tc>
          <w:tcPr>
            <w:tcW w:type="dxa" w:w="720"/>
            <w:shd w:val="clear" w:color="auto" w:fill="FFFFFF"/>
          </w:tcPr>
          <w:p>
            <w:pPr>
              <w:jc w:val="left"/>
            </w:pPr>
            <w:r>
              <w:rPr>
                <w:color w:val="1E293B"/>
                <w:sz w:val="17"/>
              </w:rPr>
              <w:t>4000</w:t>
            </w:r>
          </w:p>
        </w:tc>
        <w:tc>
          <w:tcPr>
            <w:tcW w:type="dxa" w:w="720"/>
            <w:shd w:val="clear" w:color="auto" w:fill="FFFFFF"/>
          </w:tcPr>
          <w:p>
            <w:pPr>
              <w:jc w:val="left"/>
            </w:pPr>
            <w:r>
              <w:rPr>
                <w:color w:val="1E293B"/>
                <w:sz w:val="17"/>
              </w:rPr>
              <w:t>8.73</w:t>
            </w:r>
          </w:p>
        </w:tc>
      </w:tr>
      <w:tr>
        <w:tc>
          <w:tcPr>
            <w:tcW w:type="dxa" w:w="720"/>
            <w:shd w:val="clear" w:color="auto" w:fill="F8FAFC"/>
          </w:tcPr>
          <w:p>
            <w:pPr>
              <w:jc w:val="left"/>
            </w:pPr>
            <w:r>
              <w:rPr>
                <w:color w:val="1E293B"/>
                <w:sz w:val="17"/>
              </w:rPr>
              <w:t>Lava Bold N1 Lite</w:t>
            </w:r>
          </w:p>
        </w:tc>
        <w:tc>
          <w:tcPr>
            <w:tcW w:type="dxa" w:w="720"/>
            <w:shd w:val="clear" w:color="auto" w:fill="F8FAFC"/>
          </w:tcPr>
          <w:p>
            <w:pPr>
              <w:jc w:val="left"/>
            </w:pPr>
            <w:r>
              <w:rPr>
                <w:color w:val="1E293B"/>
                <w:sz w:val="17"/>
              </w:rPr>
              <w:t>lava</w:t>
            </w:r>
          </w:p>
        </w:tc>
        <w:tc>
          <w:tcPr>
            <w:tcW w:type="dxa" w:w="720"/>
            <w:shd w:val="clear" w:color="auto" w:fill="F8FAFC"/>
          </w:tcPr>
          <w:p>
            <w:pPr>
              <w:jc w:val="left"/>
            </w:pPr>
            <w:r>
              <w:rPr>
                <w:color w:val="1E293B"/>
                <w:sz w:val="17"/>
              </w:rPr>
              <w:t>5698</w:t>
            </w:r>
          </w:p>
        </w:tc>
        <w:tc>
          <w:tcPr>
            <w:tcW w:type="dxa" w:w="720"/>
            <w:shd w:val="clear" w:color="auto" w:fill="F8FAFC"/>
          </w:tcPr>
          <w:p>
            <w:pPr>
              <w:jc w:val="left"/>
            </w:pPr>
            <w:r>
              <w:rPr>
                <w:color w:val="1E293B"/>
                <w:sz w:val="17"/>
              </w:rPr>
              <w:t>57</w:t>
            </w:r>
          </w:p>
        </w:tc>
        <w:tc>
          <w:tcPr>
            <w:tcW w:type="dxa" w:w="720"/>
            <w:shd w:val="clear" w:color="auto" w:fill="F8FAFC"/>
          </w:tcPr>
          <w:p>
            <w:pPr>
              <w:jc w:val="left"/>
            </w:pPr>
            <w:r>
              <w:rPr>
                <w:color w:val="1E293B"/>
                <w:sz w:val="17"/>
              </w:rPr>
              <w:t>3</w:t>
            </w:r>
          </w:p>
        </w:tc>
        <w:tc>
          <w:tcPr>
            <w:tcW w:type="dxa" w:w="720"/>
            <w:shd w:val="clear" w:color="auto" w:fill="F8FAFC"/>
          </w:tcPr>
          <w:p>
            <w:pPr>
              <w:jc w:val="left"/>
            </w:pPr>
            <w:r>
              <w:rPr>
                <w:color w:val="1E293B"/>
                <w:sz w:val="17"/>
              </w:rPr>
              <w:t>64</w:t>
            </w:r>
          </w:p>
        </w:tc>
        <w:tc>
          <w:tcPr>
            <w:tcW w:type="dxa" w:w="720"/>
            <w:shd w:val="clear" w:color="auto" w:fill="F8FAFC"/>
          </w:tcPr>
          <w:p>
            <w:pPr>
              <w:jc w:val="left"/>
            </w:pPr>
            <w:r>
              <w:rPr>
                <w:color w:val="1E293B"/>
                <w:sz w:val="17"/>
              </w:rPr>
              <w:t>unisoc</w:t>
            </w:r>
          </w:p>
        </w:tc>
        <w:tc>
          <w:tcPr>
            <w:tcW w:type="dxa" w:w="720"/>
            <w:shd w:val="clear" w:color="auto" w:fill="F8FAFC"/>
          </w:tcPr>
          <w:p>
            <w:pPr>
              <w:jc w:val="left"/>
            </w:pPr>
            <w:r>
              <w:rPr>
                <w:color w:val="1E293B"/>
                <w:sz w:val="17"/>
              </w:rPr>
              <w:t>unisoc t765</w:t>
            </w:r>
          </w:p>
        </w:tc>
        <w:tc>
          <w:tcPr>
            <w:tcW w:type="dxa" w:w="720"/>
            <w:shd w:val="clear" w:color="auto" w:fill="F8FAFC"/>
          </w:tcPr>
          <w:p>
            <w:pPr>
              <w:jc w:val="left"/>
            </w:pPr>
            <w:r>
              <w:rPr>
                <w:color w:val="1E293B"/>
                <w:sz w:val="17"/>
              </w:rPr>
              <w:t>False</w:t>
            </w:r>
          </w:p>
        </w:tc>
        <w:tc>
          <w:tcPr>
            <w:tcW w:type="dxa" w:w="720"/>
            <w:shd w:val="clear" w:color="auto" w:fill="F8FAFC"/>
          </w:tcPr>
          <w:p>
            <w:pPr>
              <w:jc w:val="left"/>
            </w:pPr>
            <w:r>
              <w:rPr>
                <w:color w:val="1E293B"/>
                <w:sz w:val="17"/>
              </w:rPr>
              <w:t>90</w:t>
            </w:r>
          </w:p>
        </w:tc>
        <w:tc>
          <w:tcPr>
            <w:tcW w:type="dxa" w:w="720"/>
            <w:shd w:val="clear" w:color="auto" w:fill="F8FAFC"/>
          </w:tcPr>
          <w:p>
            <w:pPr>
              <w:jc w:val="left"/>
            </w:pPr>
            <w:r>
              <w:rPr>
                <w:color w:val="1E293B"/>
                <w:sz w:val="17"/>
              </w:rPr>
              <w:t>10.0</w:t>
            </w:r>
          </w:p>
        </w:tc>
        <w:tc>
          <w:tcPr>
            <w:tcW w:type="dxa" w:w="720"/>
            <w:shd w:val="clear" w:color="auto" w:fill="F8FAFC"/>
          </w:tcPr>
          <w:p>
            <w:pPr>
              <w:jc w:val="left"/>
            </w:pPr>
            <w:r>
              <w:rPr>
                <w:color w:val="1E293B"/>
                <w:sz w:val="17"/>
              </w:rPr>
              <w:t>5000</w:t>
            </w:r>
          </w:p>
        </w:tc>
        <w:tc>
          <w:tcPr>
            <w:tcW w:type="dxa" w:w="720"/>
            <w:shd w:val="clear" w:color="auto" w:fill="F8FAFC"/>
          </w:tcPr>
          <w:p>
            <w:pPr>
              <w:jc w:val="left"/>
            </w:pPr>
            <w:r>
              <w:rPr>
                <w:color w:val="1E293B"/>
                <w:sz w:val="17"/>
              </w:rPr>
              <w:t>10.0</w:t>
            </w:r>
          </w:p>
        </w:tc>
      </w:tr>
      <w:tr>
        <w:tc>
          <w:tcPr>
            <w:tcW w:type="dxa" w:w="720"/>
            <w:shd w:val="clear" w:color="auto" w:fill="FFFFFF"/>
          </w:tcPr>
          <w:p>
            <w:pPr>
              <w:jc w:val="left"/>
            </w:pPr>
            <w:r>
              <w:rPr>
                <w:color w:val="1E293B"/>
                <w:sz w:val="17"/>
              </w:rPr>
              <w:t>Ai+ Pulse</w:t>
            </w:r>
          </w:p>
        </w:tc>
        <w:tc>
          <w:tcPr>
            <w:tcW w:type="dxa" w:w="720"/>
            <w:shd w:val="clear" w:color="auto" w:fill="FFFFFF"/>
          </w:tcPr>
          <w:p>
            <w:pPr>
              <w:jc w:val="left"/>
            </w:pPr>
            <w:r>
              <w:rPr>
                <w:color w:val="1E293B"/>
                <w:sz w:val="17"/>
              </w:rPr>
              <w:t>ai+</w:t>
            </w:r>
          </w:p>
        </w:tc>
        <w:tc>
          <w:tcPr>
            <w:tcW w:type="dxa" w:w="720"/>
            <w:shd w:val="clear" w:color="auto" w:fill="FFFFFF"/>
          </w:tcPr>
          <w:p>
            <w:pPr>
              <w:jc w:val="left"/>
            </w:pPr>
            <w:r>
              <w:rPr>
                <w:color w:val="1E293B"/>
                <w:sz w:val="17"/>
              </w:rPr>
              <w:t>5999</w:t>
            </w:r>
          </w:p>
        </w:tc>
        <w:tc>
          <w:tcPr>
            <w:tcW w:type="dxa" w:w="720"/>
            <w:shd w:val="clear" w:color="auto" w:fill="FFFFFF"/>
          </w:tcPr>
          <w:p>
            <w:pPr>
              <w:jc w:val="left"/>
            </w:pPr>
            <w:r>
              <w:rPr>
                <w:color w:val="1E293B"/>
                <w:sz w:val="17"/>
              </w:rPr>
              <w:t>68</w:t>
            </w:r>
          </w:p>
        </w:tc>
        <w:tc>
          <w:tcPr>
            <w:tcW w:type="dxa" w:w="720"/>
            <w:shd w:val="clear" w:color="auto" w:fill="FFFFFF"/>
          </w:tcPr>
          <w:p>
            <w:pPr>
              <w:jc w:val="left"/>
            </w:pPr>
            <w:r>
              <w:rPr>
                <w:color w:val="1E293B"/>
                <w:sz w:val="17"/>
              </w:rPr>
              <w:t>4</w:t>
            </w:r>
          </w:p>
        </w:tc>
        <w:tc>
          <w:tcPr>
            <w:tcW w:type="dxa" w:w="720"/>
            <w:shd w:val="clear" w:color="auto" w:fill="FFFFFF"/>
          </w:tcPr>
          <w:p>
            <w:pPr>
              <w:jc w:val="left"/>
            </w:pPr>
            <w:r>
              <w:rPr>
                <w:color w:val="1E293B"/>
                <w:sz w:val="17"/>
              </w:rPr>
              <w:t>64</w:t>
            </w:r>
          </w:p>
        </w:tc>
        <w:tc>
          <w:tcPr>
            <w:tcW w:type="dxa" w:w="720"/>
            <w:shd w:val="clear" w:color="auto" w:fill="FFFFFF"/>
          </w:tcPr>
          <w:p>
            <w:pPr>
              <w:jc w:val="left"/>
            </w:pPr>
            <w:r>
              <w:rPr>
                <w:color w:val="1E293B"/>
                <w:sz w:val="17"/>
              </w:rPr>
              <w:t>unisoc</w:t>
            </w:r>
          </w:p>
        </w:tc>
        <w:tc>
          <w:tcPr>
            <w:tcW w:type="dxa" w:w="720"/>
            <w:shd w:val="clear" w:color="auto" w:fill="FFFFFF"/>
          </w:tcPr>
          <w:p>
            <w:pPr>
              <w:jc w:val="left"/>
            </w:pPr>
            <w:r>
              <w:rPr>
                <w:color w:val="1E293B"/>
                <w:sz w:val="17"/>
              </w:rPr>
              <w:t>unisoc t615</w:t>
            </w:r>
          </w:p>
        </w:tc>
        <w:tc>
          <w:tcPr>
            <w:tcW w:type="dxa" w:w="720"/>
            <w:shd w:val="clear" w:color="auto" w:fill="FFFFFF"/>
          </w:tcPr>
          <w:p>
            <w:pPr>
              <w:jc w:val="left"/>
            </w:pPr>
            <w:r>
              <w:rPr>
                <w:color w:val="1E293B"/>
                <w:sz w:val="17"/>
              </w:rPr>
              <w:t>False</w:t>
            </w:r>
          </w:p>
        </w:tc>
        <w:tc>
          <w:tcPr>
            <w:tcW w:type="dxa" w:w="720"/>
            <w:shd w:val="clear" w:color="auto" w:fill="FFFFFF"/>
          </w:tcPr>
          <w:p>
            <w:pPr>
              <w:jc w:val="left"/>
            </w:pPr>
            <w:r>
              <w:rPr>
                <w:color w:val="1E293B"/>
                <w:sz w:val="17"/>
              </w:rPr>
              <w:t>90</w:t>
            </w:r>
          </w:p>
        </w:tc>
        <w:tc>
          <w:tcPr>
            <w:tcW w:type="dxa" w:w="720"/>
            <w:shd w:val="clear" w:color="auto" w:fill="FFFFFF"/>
          </w:tcPr>
          <w:p>
            <w:pPr>
              <w:jc w:val="left"/>
            </w:pPr>
            <w:r>
              <w:rPr>
                <w:color w:val="1E293B"/>
                <w:sz w:val="17"/>
              </w:rPr>
              <w:t>10.0</w:t>
            </w:r>
          </w:p>
        </w:tc>
        <w:tc>
          <w:tcPr>
            <w:tcW w:type="dxa" w:w="720"/>
            <w:shd w:val="clear" w:color="auto" w:fill="FFFFFF"/>
          </w:tcPr>
          <w:p>
            <w:pPr>
              <w:jc w:val="left"/>
            </w:pPr>
            <w:r>
              <w:rPr>
                <w:color w:val="1E293B"/>
                <w:sz w:val="17"/>
              </w:rPr>
              <w:t>5000</w:t>
            </w:r>
          </w:p>
        </w:tc>
        <w:tc>
          <w:tcPr>
            <w:tcW w:type="dxa" w:w="720"/>
            <w:shd w:val="clear" w:color="auto" w:fill="FFFFFF"/>
          </w:tcPr>
          <w:p>
            <w:pPr>
              <w:jc w:val="left"/>
            </w:pPr>
            <w:r>
              <w:rPr>
                <w:color w:val="1E293B"/>
                <w:sz w:val="17"/>
              </w:rPr>
              <w:t>11.34</w:t>
            </w:r>
          </w:p>
        </w:tc>
      </w:tr>
      <w:tr>
        <w:tc>
          <w:tcPr>
            <w:tcW w:type="dxa" w:w="720"/>
            <w:shd w:val="clear" w:color="auto" w:fill="F8FAFC"/>
          </w:tcPr>
          <w:p>
            <w:pPr>
              <w:jc w:val="left"/>
            </w:pPr>
            <w:r>
              <w:rPr>
                <w:color w:val="1E293B"/>
                <w:sz w:val="17"/>
              </w:rPr>
              <w:t>Lava O3 Pro</w:t>
            </w:r>
          </w:p>
        </w:tc>
        <w:tc>
          <w:tcPr>
            <w:tcW w:type="dxa" w:w="720"/>
            <w:shd w:val="clear" w:color="auto" w:fill="F8FAFC"/>
          </w:tcPr>
          <w:p>
            <w:pPr>
              <w:jc w:val="left"/>
            </w:pPr>
            <w:r>
              <w:rPr>
                <w:color w:val="1E293B"/>
                <w:sz w:val="17"/>
              </w:rPr>
              <w:t>lava</w:t>
            </w:r>
          </w:p>
        </w:tc>
        <w:tc>
          <w:tcPr>
            <w:tcW w:type="dxa" w:w="720"/>
            <w:shd w:val="clear" w:color="auto" w:fill="F8FAFC"/>
          </w:tcPr>
          <w:p>
            <w:pPr>
              <w:jc w:val="left"/>
            </w:pPr>
            <w:r>
              <w:rPr>
                <w:color w:val="1E293B"/>
                <w:sz w:val="17"/>
              </w:rPr>
              <w:t>6349</w:t>
            </w:r>
          </w:p>
        </w:tc>
        <w:tc>
          <w:tcPr>
            <w:tcW w:type="dxa" w:w="720"/>
            <w:shd w:val="clear" w:color="auto" w:fill="F8FAFC"/>
          </w:tcPr>
          <w:p>
            <w:pPr>
              <w:jc w:val="left"/>
            </w:pPr>
            <w:r>
              <w:rPr>
                <w:color w:val="1E293B"/>
                <w:sz w:val="17"/>
              </w:rPr>
              <w:t>69</w:t>
            </w:r>
          </w:p>
        </w:tc>
        <w:tc>
          <w:tcPr>
            <w:tcW w:type="dxa" w:w="720"/>
            <w:shd w:val="clear" w:color="auto" w:fill="F8FAFC"/>
          </w:tcPr>
          <w:p>
            <w:pPr>
              <w:jc w:val="left"/>
            </w:pPr>
            <w:r>
              <w:rPr>
                <w:color w:val="1E293B"/>
                <w:sz w:val="17"/>
              </w:rPr>
              <w:t>4</w:t>
            </w:r>
          </w:p>
        </w:tc>
        <w:tc>
          <w:tcPr>
            <w:tcW w:type="dxa" w:w="720"/>
            <w:shd w:val="clear" w:color="auto" w:fill="F8FAFC"/>
          </w:tcPr>
          <w:p>
            <w:pPr>
              <w:jc w:val="left"/>
            </w:pPr>
            <w:r>
              <w:rPr>
                <w:color w:val="1E293B"/>
                <w:sz w:val="17"/>
              </w:rPr>
              <w:t>128</w:t>
            </w:r>
          </w:p>
        </w:tc>
        <w:tc>
          <w:tcPr>
            <w:tcW w:type="dxa" w:w="720"/>
            <w:shd w:val="clear" w:color="auto" w:fill="F8FAFC"/>
          </w:tcPr>
          <w:p>
            <w:pPr>
              <w:jc w:val="left"/>
            </w:pPr>
            <w:r>
              <w:rPr>
                <w:color w:val="1E293B"/>
                <w:sz w:val="17"/>
              </w:rPr>
              <w:t>unisoc</w:t>
            </w:r>
          </w:p>
        </w:tc>
        <w:tc>
          <w:tcPr>
            <w:tcW w:type="dxa" w:w="720"/>
            <w:shd w:val="clear" w:color="auto" w:fill="F8FAFC"/>
          </w:tcPr>
          <w:p>
            <w:pPr>
              <w:jc w:val="left"/>
            </w:pPr>
            <w:r>
              <w:rPr>
                <w:color w:val="1E293B"/>
                <w:sz w:val="17"/>
              </w:rPr>
              <w:t>unisoc t606</w:t>
            </w:r>
          </w:p>
        </w:tc>
        <w:tc>
          <w:tcPr>
            <w:tcW w:type="dxa" w:w="720"/>
            <w:shd w:val="clear" w:color="auto" w:fill="F8FAFC"/>
          </w:tcPr>
          <w:p>
            <w:pPr>
              <w:jc w:val="left"/>
            </w:pPr>
            <w:r>
              <w:rPr>
                <w:color w:val="1E293B"/>
                <w:sz w:val="17"/>
              </w:rPr>
              <w:t>False</w:t>
            </w:r>
          </w:p>
        </w:tc>
        <w:tc>
          <w:tcPr>
            <w:tcW w:type="dxa" w:w="720"/>
            <w:shd w:val="clear" w:color="auto" w:fill="F8FAFC"/>
          </w:tcPr>
          <w:p>
            <w:pPr>
              <w:jc w:val="left"/>
            </w:pPr>
            <w:r>
              <w:rPr>
                <w:color w:val="1E293B"/>
                <w:sz w:val="17"/>
              </w:rPr>
              <w:t>90</w:t>
            </w:r>
          </w:p>
        </w:tc>
        <w:tc>
          <w:tcPr>
            <w:tcW w:type="dxa" w:w="720"/>
            <w:shd w:val="clear" w:color="auto" w:fill="F8FAFC"/>
          </w:tcPr>
          <w:p>
            <w:pPr>
              <w:jc w:val="left"/>
            </w:pPr>
            <w:r>
              <w:rPr>
                <w:color w:val="1E293B"/>
                <w:sz w:val="17"/>
              </w:rPr>
              <w:t>10.0</w:t>
            </w:r>
          </w:p>
        </w:tc>
        <w:tc>
          <w:tcPr>
            <w:tcW w:type="dxa" w:w="720"/>
            <w:shd w:val="clear" w:color="auto" w:fill="F8FAFC"/>
          </w:tcPr>
          <w:p>
            <w:pPr>
              <w:jc w:val="left"/>
            </w:pPr>
            <w:r>
              <w:rPr>
                <w:color w:val="1E293B"/>
                <w:sz w:val="17"/>
              </w:rPr>
              <w:t>5000</w:t>
            </w:r>
          </w:p>
        </w:tc>
        <w:tc>
          <w:tcPr>
            <w:tcW w:type="dxa" w:w="720"/>
            <w:shd w:val="clear" w:color="auto" w:fill="F8FAFC"/>
          </w:tcPr>
          <w:p>
            <w:pPr>
              <w:jc w:val="left"/>
            </w:pPr>
            <w:r>
              <w:rPr>
                <w:color w:val="1E293B"/>
                <w:sz w:val="17"/>
              </w:rPr>
              <w:t>10.87</w:t>
            </w:r>
          </w:p>
        </w:tc>
      </w:tr>
      <w:tr>
        <w:tc>
          <w:tcPr>
            <w:tcW w:type="dxa" w:w="720"/>
            <w:shd w:val="clear" w:color="auto" w:fill="FFFFFF"/>
          </w:tcPr>
          <w:p>
            <w:pPr>
              <w:jc w:val="left"/>
            </w:pPr>
            <w:r>
              <w:rPr>
                <w:color w:val="1E293B"/>
                <w:sz w:val="17"/>
              </w:rPr>
              <w:t>POCO C71 (6GB RAM + 128GB)</w:t>
            </w:r>
          </w:p>
        </w:tc>
        <w:tc>
          <w:tcPr>
            <w:tcW w:type="dxa" w:w="720"/>
            <w:shd w:val="clear" w:color="auto" w:fill="FFFFFF"/>
          </w:tcPr>
          <w:p>
            <w:pPr>
              <w:jc w:val="left"/>
            </w:pPr>
            <w:r>
              <w:rPr>
                <w:color w:val="1E293B"/>
                <w:sz w:val="17"/>
              </w:rPr>
              <w:t>poco</w:t>
            </w:r>
          </w:p>
        </w:tc>
        <w:tc>
          <w:tcPr>
            <w:tcW w:type="dxa" w:w="720"/>
            <w:shd w:val="clear" w:color="auto" w:fill="FFFFFF"/>
          </w:tcPr>
          <w:p>
            <w:pPr>
              <w:jc w:val="left"/>
            </w:pPr>
            <w:r>
              <w:rPr>
                <w:color w:val="1E293B"/>
                <w:sz w:val="17"/>
              </w:rPr>
              <w:t>6798</w:t>
            </w:r>
          </w:p>
        </w:tc>
        <w:tc>
          <w:tcPr>
            <w:tcW w:type="dxa" w:w="720"/>
            <w:shd w:val="clear" w:color="auto" w:fill="FFFFFF"/>
          </w:tcPr>
          <w:p>
            <w:pPr>
              <w:jc w:val="left"/>
            </w:pPr>
            <w:r>
              <w:rPr>
                <w:color w:val="1E293B"/>
                <w:sz w:val="17"/>
              </w:rPr>
              <w:t>71</w:t>
            </w:r>
          </w:p>
        </w:tc>
        <w:tc>
          <w:tcPr>
            <w:tcW w:type="dxa" w:w="720"/>
            <w:shd w:val="clear" w:color="auto" w:fill="FFFFFF"/>
          </w:tcPr>
          <w:p>
            <w:pPr>
              <w:jc w:val="left"/>
            </w:pPr>
            <w:r>
              <w:rPr>
                <w:color w:val="1E293B"/>
                <w:sz w:val="17"/>
              </w:rPr>
              <w:t>6</w:t>
            </w:r>
          </w:p>
        </w:tc>
        <w:tc>
          <w:tcPr>
            <w:tcW w:type="dxa" w:w="720"/>
            <w:shd w:val="clear" w:color="auto" w:fill="FFFFFF"/>
          </w:tcPr>
          <w:p>
            <w:pPr>
              <w:jc w:val="left"/>
            </w:pPr>
            <w:r>
              <w:rPr>
                <w:color w:val="1E293B"/>
                <w:sz w:val="17"/>
              </w:rPr>
              <w:t>128</w:t>
            </w:r>
          </w:p>
        </w:tc>
        <w:tc>
          <w:tcPr>
            <w:tcW w:type="dxa" w:w="720"/>
            <w:shd w:val="clear" w:color="auto" w:fill="FFFFFF"/>
          </w:tcPr>
          <w:p>
            <w:pPr>
              <w:jc w:val="left"/>
            </w:pPr>
            <w:r>
              <w:rPr>
                <w:color w:val="1E293B"/>
                <w:sz w:val="17"/>
              </w:rPr>
              <w:t>unisoc</w:t>
            </w:r>
          </w:p>
        </w:tc>
        <w:tc>
          <w:tcPr>
            <w:tcW w:type="dxa" w:w="720"/>
            <w:shd w:val="clear" w:color="auto" w:fill="FFFFFF"/>
          </w:tcPr>
          <w:p>
            <w:pPr>
              <w:jc w:val="left"/>
            </w:pPr>
            <w:r>
              <w:rPr>
                <w:color w:val="1E293B"/>
                <w:sz w:val="17"/>
              </w:rPr>
              <w:t>unisoc t7250</w:t>
            </w:r>
          </w:p>
        </w:tc>
        <w:tc>
          <w:tcPr>
            <w:tcW w:type="dxa" w:w="720"/>
            <w:shd w:val="clear" w:color="auto" w:fill="FFFFFF"/>
          </w:tcPr>
          <w:p>
            <w:pPr>
              <w:jc w:val="left"/>
            </w:pPr>
            <w:r>
              <w:rPr>
                <w:color w:val="1E293B"/>
                <w:sz w:val="17"/>
              </w:rPr>
              <w:t>False</w:t>
            </w:r>
          </w:p>
        </w:tc>
        <w:tc>
          <w:tcPr>
            <w:tcW w:type="dxa" w:w="720"/>
            <w:shd w:val="clear" w:color="auto" w:fill="FFFFFF"/>
          </w:tcPr>
          <w:p>
            <w:pPr>
              <w:jc w:val="left"/>
            </w:pPr>
            <w:r>
              <w:rPr>
                <w:color w:val="1E293B"/>
                <w:sz w:val="17"/>
              </w:rPr>
              <w:t>120</w:t>
            </w:r>
          </w:p>
        </w:tc>
        <w:tc>
          <w:tcPr>
            <w:tcW w:type="dxa" w:w="720"/>
            <w:shd w:val="clear" w:color="auto" w:fill="FFFFFF"/>
          </w:tcPr>
          <w:p>
            <w:pPr>
              <w:jc w:val="left"/>
            </w:pPr>
            <w:r>
              <w:rPr>
                <w:color w:val="1E293B"/>
                <w:sz w:val="17"/>
              </w:rPr>
              <w:t>15.0</w:t>
            </w:r>
          </w:p>
        </w:tc>
        <w:tc>
          <w:tcPr>
            <w:tcW w:type="dxa" w:w="720"/>
            <w:shd w:val="clear" w:color="auto" w:fill="FFFFFF"/>
          </w:tcPr>
          <w:p>
            <w:pPr>
              <w:jc w:val="left"/>
            </w:pPr>
            <w:r>
              <w:rPr>
                <w:color w:val="1E293B"/>
                <w:sz w:val="17"/>
              </w:rPr>
              <w:t>5200</w:t>
            </w:r>
          </w:p>
        </w:tc>
        <w:tc>
          <w:tcPr>
            <w:tcW w:type="dxa" w:w="720"/>
            <w:shd w:val="clear" w:color="auto" w:fill="FFFFFF"/>
          </w:tcPr>
          <w:p>
            <w:pPr>
              <w:jc w:val="left"/>
            </w:pPr>
            <w:r>
              <w:rPr>
                <w:color w:val="1E293B"/>
                <w:sz w:val="17"/>
              </w:rPr>
              <w:t>10.44</w:t>
            </w:r>
          </w:p>
        </w:tc>
      </w:tr>
      <w:tr>
        <w:tc>
          <w:tcPr>
            <w:tcW w:type="dxa" w:w="720"/>
            <w:shd w:val="clear" w:color="auto" w:fill="F8FAFC"/>
          </w:tcPr>
          <w:p>
            <w:pPr>
              <w:jc w:val="left"/>
            </w:pPr>
            <w:r>
              <w:rPr>
                <w:color w:val="1E293B"/>
                <w:sz w:val="17"/>
              </w:rPr>
              <w:t>Tecno Pop 9 5G (4GB RAM + 128GB)</w:t>
            </w:r>
          </w:p>
        </w:tc>
        <w:tc>
          <w:tcPr>
            <w:tcW w:type="dxa" w:w="720"/>
            <w:shd w:val="clear" w:color="auto" w:fill="F8FAFC"/>
          </w:tcPr>
          <w:p>
            <w:pPr>
              <w:jc w:val="left"/>
            </w:pPr>
            <w:r>
              <w:rPr>
                <w:color w:val="1E293B"/>
                <w:sz w:val="17"/>
              </w:rPr>
              <w:t>tecno</w:t>
            </w:r>
          </w:p>
        </w:tc>
        <w:tc>
          <w:tcPr>
            <w:tcW w:type="dxa" w:w="720"/>
            <w:shd w:val="clear" w:color="auto" w:fill="F8FAFC"/>
          </w:tcPr>
          <w:p>
            <w:pPr>
              <w:jc w:val="left"/>
            </w:pPr>
            <w:r>
              <w:rPr>
                <w:color w:val="1E293B"/>
                <w:sz w:val="17"/>
              </w:rPr>
              <w:t>8199</w:t>
            </w:r>
          </w:p>
        </w:tc>
        <w:tc>
          <w:tcPr>
            <w:tcW w:type="dxa" w:w="720"/>
            <w:shd w:val="clear" w:color="auto" w:fill="F8FAFC"/>
          </w:tcPr>
          <w:p>
            <w:pPr>
              <w:jc w:val="left"/>
            </w:pPr>
            <w:r>
              <w:rPr>
                <w:color w:val="1E293B"/>
                <w:sz w:val="17"/>
              </w:rPr>
              <w:t>74</w:t>
            </w:r>
          </w:p>
        </w:tc>
        <w:tc>
          <w:tcPr>
            <w:tcW w:type="dxa" w:w="720"/>
            <w:shd w:val="clear" w:color="auto" w:fill="F8FAFC"/>
          </w:tcPr>
          <w:p>
            <w:pPr>
              <w:jc w:val="left"/>
            </w:pPr>
            <w:r>
              <w:rPr>
                <w:color w:val="1E293B"/>
                <w:sz w:val="17"/>
              </w:rPr>
              <w:t>4</w:t>
            </w:r>
          </w:p>
        </w:tc>
        <w:tc>
          <w:tcPr>
            <w:tcW w:type="dxa" w:w="720"/>
            <w:shd w:val="clear" w:color="auto" w:fill="F8FAFC"/>
          </w:tcPr>
          <w:p>
            <w:pPr>
              <w:jc w:val="left"/>
            </w:pPr>
            <w:r>
              <w:rPr>
                <w:color w:val="1E293B"/>
                <w:sz w:val="17"/>
              </w:rPr>
              <w:t>128</w:t>
            </w:r>
          </w:p>
        </w:tc>
        <w:tc>
          <w:tcPr>
            <w:tcW w:type="dxa" w:w="720"/>
            <w:shd w:val="clear" w:color="auto" w:fill="F8FAFC"/>
          </w:tcPr>
          <w:p>
            <w:pPr>
              <w:jc w:val="left"/>
            </w:pPr>
            <w:r>
              <w:rPr>
                <w:color w:val="1E293B"/>
                <w:sz w:val="17"/>
              </w:rPr>
              <w:t>mediatek</w:t>
            </w:r>
          </w:p>
        </w:tc>
        <w:tc>
          <w:tcPr>
            <w:tcW w:type="dxa" w:w="720"/>
            <w:shd w:val="clear" w:color="auto" w:fill="F8FAFC"/>
          </w:tcPr>
          <w:p>
            <w:pPr>
              <w:jc w:val="left"/>
            </w:pPr>
            <w:r>
              <w:rPr>
                <w:color w:val="1E293B"/>
                <w:sz w:val="17"/>
              </w:rPr>
              <w:t>mediatek dimensity 6300</w:t>
            </w:r>
          </w:p>
        </w:tc>
        <w:tc>
          <w:tcPr>
            <w:tcW w:type="dxa" w:w="720"/>
            <w:shd w:val="clear" w:color="auto" w:fill="F8FAFC"/>
          </w:tcPr>
          <w:p>
            <w:pPr>
              <w:jc w:val="left"/>
            </w:pPr>
            <w:r>
              <w:rPr>
                <w:color w:val="1E293B"/>
                <w:sz w:val="17"/>
              </w:rPr>
              <w:t>True</w:t>
            </w:r>
          </w:p>
        </w:tc>
        <w:tc>
          <w:tcPr>
            <w:tcW w:type="dxa" w:w="720"/>
            <w:shd w:val="clear" w:color="auto" w:fill="F8FAFC"/>
          </w:tcPr>
          <w:p>
            <w:pPr>
              <w:jc w:val="left"/>
            </w:pPr>
            <w:r>
              <w:rPr>
                <w:color w:val="1E293B"/>
                <w:sz w:val="17"/>
              </w:rPr>
              <w:t>120</w:t>
            </w:r>
          </w:p>
        </w:tc>
        <w:tc>
          <w:tcPr>
            <w:tcW w:type="dxa" w:w="720"/>
            <w:shd w:val="clear" w:color="auto" w:fill="F8FAFC"/>
          </w:tcPr>
          <w:p>
            <w:pPr>
              <w:jc w:val="left"/>
            </w:pPr>
            <w:r>
              <w:rPr>
                <w:color w:val="1E293B"/>
                <w:sz w:val="17"/>
              </w:rPr>
              <w:t>18.0</w:t>
            </w:r>
          </w:p>
        </w:tc>
        <w:tc>
          <w:tcPr>
            <w:tcW w:type="dxa" w:w="720"/>
            <w:shd w:val="clear" w:color="auto" w:fill="F8FAFC"/>
          </w:tcPr>
          <w:p>
            <w:pPr>
              <w:jc w:val="left"/>
            </w:pPr>
            <w:r>
              <w:rPr>
                <w:color w:val="1E293B"/>
                <w:sz w:val="17"/>
              </w:rPr>
              <w:t>5000</w:t>
            </w:r>
          </w:p>
        </w:tc>
        <w:tc>
          <w:tcPr>
            <w:tcW w:type="dxa" w:w="720"/>
            <w:shd w:val="clear" w:color="auto" w:fill="F8FAFC"/>
          </w:tcPr>
          <w:p>
            <w:pPr>
              <w:jc w:val="left"/>
            </w:pPr>
            <w:r>
              <w:rPr>
                <w:color w:val="1E293B"/>
                <w:sz w:val="17"/>
              </w:rPr>
              <w:t>9.03</w:t>
            </w:r>
          </w:p>
        </w:tc>
      </w:tr>
      <w:tr>
        <w:tc>
          <w:tcPr>
            <w:tcW w:type="dxa" w:w="720"/>
            <w:shd w:val="clear" w:color="auto" w:fill="FFFFFF"/>
          </w:tcPr>
          <w:p>
            <w:pPr>
              <w:jc w:val="left"/>
            </w:pPr>
            <w:r>
              <w:rPr>
                <w:color w:val="1E293B"/>
                <w:sz w:val="17"/>
              </w:rPr>
              <w:t>Tecno Pop 9 5G (8GB RAM + 128GB)</w:t>
            </w:r>
          </w:p>
        </w:tc>
        <w:tc>
          <w:tcPr>
            <w:tcW w:type="dxa" w:w="720"/>
            <w:shd w:val="clear" w:color="auto" w:fill="FFFFFF"/>
          </w:tcPr>
          <w:p>
            <w:pPr>
              <w:jc w:val="left"/>
            </w:pPr>
            <w:r>
              <w:rPr>
                <w:color w:val="1E293B"/>
                <w:sz w:val="17"/>
              </w:rPr>
              <w:t>tecno</w:t>
            </w:r>
          </w:p>
        </w:tc>
        <w:tc>
          <w:tcPr>
            <w:tcW w:type="dxa" w:w="720"/>
            <w:shd w:val="clear" w:color="auto" w:fill="FFFFFF"/>
          </w:tcPr>
          <w:p>
            <w:pPr>
              <w:jc w:val="left"/>
            </w:pPr>
            <w:r>
              <w:rPr>
                <w:color w:val="1E293B"/>
                <w:sz w:val="17"/>
              </w:rPr>
              <w:t>9399</w:t>
            </w:r>
          </w:p>
        </w:tc>
        <w:tc>
          <w:tcPr>
            <w:tcW w:type="dxa" w:w="720"/>
            <w:shd w:val="clear" w:color="auto" w:fill="FFFFFF"/>
          </w:tcPr>
          <w:p>
            <w:pPr>
              <w:jc w:val="left"/>
            </w:pPr>
            <w:r>
              <w:rPr>
                <w:color w:val="1E293B"/>
                <w:sz w:val="17"/>
              </w:rPr>
              <w:t>77</w:t>
            </w:r>
          </w:p>
        </w:tc>
        <w:tc>
          <w:tcPr>
            <w:tcW w:type="dxa" w:w="720"/>
            <w:shd w:val="clear" w:color="auto" w:fill="FFFFFF"/>
          </w:tcPr>
          <w:p>
            <w:pPr>
              <w:jc w:val="left"/>
            </w:pPr>
            <w:r>
              <w:rPr>
                <w:color w:val="1E293B"/>
                <w:sz w:val="17"/>
              </w:rPr>
              <w:t>8</w:t>
            </w:r>
          </w:p>
        </w:tc>
        <w:tc>
          <w:tcPr>
            <w:tcW w:type="dxa" w:w="720"/>
            <w:shd w:val="clear" w:color="auto" w:fill="FFFFFF"/>
          </w:tcPr>
          <w:p>
            <w:pPr>
              <w:jc w:val="left"/>
            </w:pPr>
            <w:r>
              <w:rPr>
                <w:color w:val="1E293B"/>
                <w:sz w:val="17"/>
              </w:rPr>
              <w:t>128</w:t>
            </w:r>
          </w:p>
        </w:tc>
        <w:tc>
          <w:tcPr>
            <w:tcW w:type="dxa" w:w="720"/>
            <w:shd w:val="clear" w:color="auto" w:fill="FFFFFF"/>
          </w:tcPr>
          <w:p>
            <w:pPr>
              <w:jc w:val="left"/>
            </w:pPr>
            <w:r>
              <w:rPr>
                <w:color w:val="1E293B"/>
                <w:sz w:val="17"/>
              </w:rPr>
              <w:t>mediatek</w:t>
            </w:r>
          </w:p>
        </w:tc>
        <w:tc>
          <w:tcPr>
            <w:tcW w:type="dxa" w:w="720"/>
            <w:shd w:val="clear" w:color="auto" w:fill="FFFFFF"/>
          </w:tcPr>
          <w:p>
            <w:pPr>
              <w:jc w:val="left"/>
            </w:pPr>
            <w:r>
              <w:rPr>
                <w:color w:val="1E293B"/>
                <w:sz w:val="17"/>
              </w:rPr>
              <w:t>mediatek dimensity 6300</w:t>
            </w:r>
          </w:p>
        </w:tc>
        <w:tc>
          <w:tcPr>
            <w:tcW w:type="dxa" w:w="720"/>
            <w:shd w:val="clear" w:color="auto" w:fill="FFFFFF"/>
          </w:tcPr>
          <w:p>
            <w:pPr>
              <w:jc w:val="left"/>
            </w:pPr>
            <w:r>
              <w:rPr>
                <w:color w:val="1E293B"/>
                <w:sz w:val="17"/>
              </w:rPr>
              <w:t>True</w:t>
            </w:r>
          </w:p>
        </w:tc>
        <w:tc>
          <w:tcPr>
            <w:tcW w:type="dxa" w:w="720"/>
            <w:shd w:val="clear" w:color="auto" w:fill="FFFFFF"/>
          </w:tcPr>
          <w:p>
            <w:pPr>
              <w:jc w:val="left"/>
            </w:pPr>
            <w:r>
              <w:rPr>
                <w:color w:val="1E293B"/>
                <w:sz w:val="17"/>
              </w:rPr>
              <w:t>120</w:t>
            </w:r>
          </w:p>
        </w:tc>
        <w:tc>
          <w:tcPr>
            <w:tcW w:type="dxa" w:w="720"/>
            <w:shd w:val="clear" w:color="auto" w:fill="FFFFFF"/>
          </w:tcPr>
          <w:p>
            <w:pPr>
              <w:jc w:val="left"/>
            </w:pPr>
            <w:r>
              <w:rPr>
                <w:color w:val="1E293B"/>
                <w:sz w:val="17"/>
              </w:rPr>
              <w:t>18.0</w:t>
            </w:r>
          </w:p>
        </w:tc>
        <w:tc>
          <w:tcPr>
            <w:tcW w:type="dxa" w:w="720"/>
            <w:shd w:val="clear" w:color="auto" w:fill="FFFFFF"/>
          </w:tcPr>
          <w:p>
            <w:pPr>
              <w:jc w:val="left"/>
            </w:pPr>
            <w:r>
              <w:rPr>
                <w:color w:val="1E293B"/>
                <w:sz w:val="17"/>
              </w:rPr>
              <w:t>5000</w:t>
            </w:r>
          </w:p>
        </w:tc>
        <w:tc>
          <w:tcPr>
            <w:tcW w:type="dxa" w:w="720"/>
            <w:shd w:val="clear" w:color="auto" w:fill="FFFFFF"/>
          </w:tcPr>
          <w:p>
            <w:pPr>
              <w:jc w:val="left"/>
            </w:pPr>
            <w:r>
              <w:rPr>
                <w:color w:val="1E293B"/>
                <w:sz w:val="17"/>
              </w:rPr>
              <w:t>8.19</w:t>
            </w:r>
          </w:p>
        </w:tc>
      </w:tr>
      <w:tr>
        <w:tc>
          <w:tcPr>
            <w:tcW w:type="dxa" w:w="720"/>
            <w:shd w:val="clear" w:color="auto" w:fill="F8FAFC"/>
          </w:tcPr>
          <w:p>
            <w:pPr>
              <w:jc w:val="left"/>
            </w:pPr>
            <w:r>
              <w:rPr>
                <w:color w:val="1E293B"/>
                <w:sz w:val="17"/>
              </w:rPr>
              <w:t>HMD Crest</w:t>
            </w:r>
          </w:p>
        </w:tc>
        <w:tc>
          <w:tcPr>
            <w:tcW w:type="dxa" w:w="720"/>
            <w:shd w:val="clear" w:color="auto" w:fill="F8FAFC"/>
          </w:tcPr>
          <w:p>
            <w:pPr>
              <w:jc w:val="left"/>
            </w:pPr>
            <w:r>
              <w:rPr>
                <w:color w:val="1E293B"/>
                <w:sz w:val="17"/>
              </w:rPr>
              <w:t>hmd</w:t>
            </w:r>
          </w:p>
        </w:tc>
        <w:tc>
          <w:tcPr>
            <w:tcW w:type="dxa" w:w="720"/>
            <w:shd w:val="clear" w:color="auto" w:fill="F8FAFC"/>
          </w:tcPr>
          <w:p>
            <w:pPr>
              <w:jc w:val="left"/>
            </w:pPr>
            <w:r>
              <w:rPr>
                <w:color w:val="1E293B"/>
                <w:sz w:val="17"/>
              </w:rPr>
              <w:t>9999</w:t>
            </w:r>
          </w:p>
        </w:tc>
        <w:tc>
          <w:tcPr>
            <w:tcW w:type="dxa" w:w="720"/>
            <w:shd w:val="clear" w:color="auto" w:fill="F8FAFC"/>
          </w:tcPr>
          <w:p>
            <w:pPr>
              <w:jc w:val="left"/>
            </w:pPr>
            <w:r>
              <w:rPr>
                <w:color w:val="1E293B"/>
                <w:sz w:val="17"/>
              </w:rPr>
              <w:t>78</w:t>
            </w:r>
          </w:p>
        </w:tc>
        <w:tc>
          <w:tcPr>
            <w:tcW w:type="dxa" w:w="720"/>
            <w:shd w:val="clear" w:color="auto" w:fill="F8FAFC"/>
          </w:tcPr>
          <w:p>
            <w:pPr>
              <w:jc w:val="left"/>
            </w:pPr>
            <w:r>
              <w:rPr>
                <w:color w:val="1E293B"/>
                <w:sz w:val="17"/>
              </w:rPr>
              <w:t>6</w:t>
            </w:r>
          </w:p>
        </w:tc>
        <w:tc>
          <w:tcPr>
            <w:tcW w:type="dxa" w:w="720"/>
            <w:shd w:val="clear" w:color="auto" w:fill="F8FAFC"/>
          </w:tcPr>
          <w:p>
            <w:pPr>
              <w:jc w:val="left"/>
            </w:pPr>
            <w:r>
              <w:rPr>
                <w:color w:val="1E293B"/>
                <w:sz w:val="17"/>
              </w:rPr>
              <w:t>128</w:t>
            </w:r>
          </w:p>
        </w:tc>
        <w:tc>
          <w:tcPr>
            <w:tcW w:type="dxa" w:w="720"/>
            <w:shd w:val="clear" w:color="auto" w:fill="F8FAFC"/>
          </w:tcPr>
          <w:p>
            <w:pPr>
              <w:jc w:val="left"/>
            </w:pPr>
            <w:r>
              <w:rPr>
                <w:color w:val="1E293B"/>
                <w:sz w:val="17"/>
              </w:rPr>
              <w:t>unisoc</w:t>
            </w:r>
          </w:p>
        </w:tc>
        <w:tc>
          <w:tcPr>
            <w:tcW w:type="dxa" w:w="720"/>
            <w:shd w:val="clear" w:color="auto" w:fill="F8FAFC"/>
          </w:tcPr>
          <w:p>
            <w:pPr>
              <w:jc w:val="left"/>
            </w:pPr>
            <w:r>
              <w:rPr>
                <w:color w:val="1E293B"/>
                <w:sz w:val="17"/>
              </w:rPr>
              <w:t>unisoc t760</w:t>
            </w:r>
          </w:p>
        </w:tc>
        <w:tc>
          <w:tcPr>
            <w:tcW w:type="dxa" w:w="720"/>
            <w:shd w:val="clear" w:color="auto" w:fill="F8FAFC"/>
          </w:tcPr>
          <w:p>
            <w:pPr>
              <w:jc w:val="left"/>
            </w:pPr>
            <w:r>
              <w:rPr>
                <w:color w:val="1E293B"/>
                <w:sz w:val="17"/>
              </w:rPr>
              <w:t>True</w:t>
            </w:r>
          </w:p>
        </w:tc>
        <w:tc>
          <w:tcPr>
            <w:tcW w:type="dxa" w:w="720"/>
            <w:shd w:val="clear" w:color="auto" w:fill="F8FAFC"/>
          </w:tcPr>
          <w:p>
            <w:pPr>
              <w:jc w:val="left"/>
            </w:pPr>
            <w:r>
              <w:rPr>
                <w:color w:val="1E293B"/>
                <w:sz w:val="17"/>
              </w:rPr>
              <w:t>90</w:t>
            </w:r>
          </w:p>
        </w:tc>
        <w:tc>
          <w:tcPr>
            <w:tcW w:type="dxa" w:w="720"/>
            <w:shd w:val="clear" w:color="auto" w:fill="F8FAFC"/>
          </w:tcPr>
          <w:p>
            <w:pPr>
              <w:jc w:val="left"/>
            </w:pPr>
            <w:r>
              <w:rPr>
                <w:color w:val="1E293B"/>
                <w:sz w:val="17"/>
              </w:rPr>
              <w:t>33.0</w:t>
            </w:r>
          </w:p>
        </w:tc>
        <w:tc>
          <w:tcPr>
            <w:tcW w:type="dxa" w:w="720"/>
            <w:shd w:val="clear" w:color="auto" w:fill="F8FAFC"/>
          </w:tcPr>
          <w:p>
            <w:pPr>
              <w:jc w:val="left"/>
            </w:pPr>
            <w:r>
              <w:rPr>
                <w:color w:val="1E293B"/>
                <w:sz w:val="17"/>
              </w:rPr>
              <w:t>5000</w:t>
            </w:r>
          </w:p>
        </w:tc>
        <w:tc>
          <w:tcPr>
            <w:tcW w:type="dxa" w:w="720"/>
            <w:shd w:val="clear" w:color="auto" w:fill="F8FAFC"/>
          </w:tcPr>
          <w:p>
            <w:pPr>
              <w:jc w:val="left"/>
            </w:pPr>
            <w:r>
              <w:rPr>
                <w:color w:val="1E293B"/>
                <w:sz w:val="17"/>
              </w:rPr>
              <w:t>7.8</w:t>
            </w:r>
          </w:p>
        </w:tc>
      </w:tr>
    </w:tbl>
    <w:p>
      <w:pPr>
        <w:spacing w:after="120"/>
      </w:pPr>
    </w:p>
    <w:p>
      <w:pPr>
        <w:pStyle w:val="Heading1"/>
        <w:keepNext/>
        <w:spacing w:before="240" w:after="80"/>
      </w:pPr>
      <w:r>
        <w:rPr>
          <w:b/>
          <w:color w:val="1E3A8A"/>
          <w:sz w:val="32"/>
        </w:rPr>
        <w:t>17. Risk Analysis</w:t>
      </w:r>
    </w:p>
    <w:p>
      <w:r>
        <w:t>Four concrete, data-supported risks were identified:</w:t>
        <w:br/>
        <w:t>1. Potential 4G Technology-Positioning Risk: 11 models in the Lower-Mid tier (₹10,000–₹14,850) lack 5G despite 96.0% segment saturation (and 98.2% in models ₹12,000 and above).</w:t>
        <w:br/>
        <w:t>2. Lower-Mid Overcrowding: 277 models in ₹10k–₹20k, with 117 sharing identical Dimensity 6300 silicon, driving catalog commoditization.</w:t>
        <w:br/>
        <w:t>3. Hedonic Overpricing Vulnerability: Select models carry retail prices &gt;35% above expected spec value while delivering sub-80 technical/specification rating scores.</w:t>
        <w:br/>
        <w:t>4. Upstream Typo Risks: Single-record entry errors (e.g. Ringme 128x160 px display) distorting resolution metrics.</w:t>
      </w:r>
    </w:p>
    <w:p>
      <w:pPr>
        <w:spacing w:before="160" w:after="40"/>
        <w:jc w:val="center"/>
      </w:pPr>
      <w:r>
        <w:drawing>
          <wp:inline xmlns:a="http://schemas.openxmlformats.org/drawingml/2006/main" xmlns:pic="http://schemas.openxmlformats.org/drawingml/2006/picture">
            <wp:extent cx="5669280" cy="3285437"/>
            <wp:docPr id="16" name="Picture 16"/>
            <wp:cNvGraphicFramePr>
              <a:graphicFrameLocks noChangeAspect="1"/>
            </wp:cNvGraphicFramePr>
            <a:graphic>
              <a:graphicData uri="http://schemas.openxmlformats.org/drawingml/2006/picture">
                <pic:pic>
                  <pic:nvPicPr>
                    <pic:cNvPr id="0" name="16_risk_overpriced_residuals.png"/>
                    <pic:cNvPicPr/>
                  </pic:nvPicPr>
                  <pic:blipFill>
                    <a:blip r:embed="rId24"/>
                    <a:stretch>
                      <a:fillRect/>
                    </a:stretch>
                  </pic:blipFill>
                  <pic:spPr>
                    <a:xfrm>
                      <a:off x="0" y="0"/>
                      <a:ext cx="5669280" cy="3285437"/>
                    </a:xfrm>
                    <a:prstGeom prst="rect"/>
                  </pic:spPr>
                </pic:pic>
              </a:graphicData>
            </a:graphic>
          </wp:inline>
        </w:drawing>
      </w:r>
    </w:p>
    <w:p>
      <w:pPr>
        <w:spacing w:after="200"/>
        <w:jc w:val="center"/>
      </w:pPr>
      <w:r>
        <w:rPr>
          <w:i/>
          <w:color w:val="64748B"/>
          <w:sz w:val="17"/>
        </w:rPr>
        <w:t>Figure 15: Model Pricing Residuals vs. Spec Rating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jc w:val="center"/>
            </w:pPr>
            <w:r>
              <w:rPr>
                <w:b/>
                <w:color w:val="FFFFFF"/>
                <w:sz w:val="18"/>
              </w:rPr>
              <w:t>risk_id</w:t>
            </w:r>
          </w:p>
        </w:tc>
        <w:tc>
          <w:tcPr>
            <w:tcW w:type="dxa" w:w="1560"/>
            <w:shd w:val="clear" w:color="auto" w:fill="1E3A8A"/>
          </w:tcPr>
          <w:p>
            <w:pPr>
              <w:jc w:val="center"/>
            </w:pPr>
            <w:r>
              <w:rPr>
                <w:b/>
                <w:color w:val="FFFFFF"/>
                <w:sz w:val="18"/>
              </w:rPr>
              <w:t>risk_title</w:t>
            </w:r>
          </w:p>
        </w:tc>
        <w:tc>
          <w:tcPr>
            <w:tcW w:type="dxa" w:w="1560"/>
            <w:shd w:val="clear" w:color="auto" w:fill="1E3A8A"/>
          </w:tcPr>
          <w:p>
            <w:pPr>
              <w:jc w:val="center"/>
            </w:pPr>
            <w:r>
              <w:rPr>
                <w:b/>
                <w:color w:val="FFFFFF"/>
                <w:sz w:val="18"/>
              </w:rPr>
              <w:t>metric</w:t>
            </w:r>
          </w:p>
        </w:tc>
        <w:tc>
          <w:tcPr>
            <w:tcW w:type="dxa" w:w="1560"/>
            <w:shd w:val="clear" w:color="auto" w:fill="1E3A8A"/>
          </w:tcPr>
          <w:p>
            <w:pPr>
              <w:jc w:val="center"/>
            </w:pPr>
            <w:r>
              <w:rPr>
                <w:b/>
                <w:color w:val="FFFFFF"/>
                <w:sz w:val="18"/>
              </w:rPr>
              <w:t>evidence</w:t>
            </w:r>
          </w:p>
        </w:tc>
        <w:tc>
          <w:tcPr>
            <w:tcW w:type="dxa" w:w="1560"/>
            <w:shd w:val="clear" w:color="auto" w:fill="1E3A8A"/>
          </w:tcPr>
          <w:p>
            <w:pPr>
              <w:jc w:val="center"/>
            </w:pPr>
            <w:r>
              <w:rPr>
                <w:b/>
                <w:color w:val="FFFFFF"/>
                <w:sz w:val="18"/>
              </w:rPr>
              <w:t>affected_segment</w:t>
            </w:r>
          </w:p>
        </w:tc>
        <w:tc>
          <w:tcPr>
            <w:tcW w:type="dxa" w:w="1560"/>
            <w:shd w:val="clear" w:color="auto" w:fill="1E3A8A"/>
          </w:tcPr>
          <w:p>
            <w:pPr>
              <w:jc w:val="center"/>
            </w:pPr>
            <w:r>
              <w:rPr>
                <w:b/>
                <w:color w:val="FFFFFF"/>
                <w:sz w:val="18"/>
              </w:rPr>
              <w:t>context_limitation</w:t>
            </w:r>
          </w:p>
        </w:tc>
      </w:tr>
      <w:tr>
        <w:tc>
          <w:tcPr>
            <w:tcW w:type="dxa" w:w="1560"/>
            <w:shd w:val="clear" w:color="auto" w:fill="FFFFFF"/>
          </w:tcPr>
          <w:p>
            <w:pPr>
              <w:jc w:val="left"/>
            </w:pPr>
            <w:r>
              <w:rPr>
                <w:color w:val="1E293B"/>
                <w:sz w:val="17"/>
              </w:rPr>
              <w:t>RISK-01</w:t>
            </w:r>
          </w:p>
        </w:tc>
        <w:tc>
          <w:tcPr>
            <w:tcW w:type="dxa" w:w="1560"/>
            <w:shd w:val="clear" w:color="auto" w:fill="FFFFFF"/>
          </w:tcPr>
          <w:p>
            <w:pPr>
              <w:jc w:val="left"/>
            </w:pPr>
            <w:r>
              <w:rPr>
                <w:color w:val="1E293B"/>
                <w:sz w:val="17"/>
              </w:rPr>
              <w:t>Potential 4G Technology-Positioning Risk</w:t>
            </w:r>
          </w:p>
        </w:tc>
        <w:tc>
          <w:tcPr>
            <w:tcW w:type="dxa" w:w="1560"/>
            <w:shd w:val="clear" w:color="auto" w:fill="FFFFFF"/>
          </w:tcPr>
          <w:p>
            <w:pPr>
              <w:jc w:val="left"/>
            </w:pPr>
            <w:r>
              <w:rPr>
                <w:color w:val="1E293B"/>
                <w:sz w:val="17"/>
              </w:rPr>
              <w:t>Number of 4G models in Lower-Mid tier (₹10,000–₹20,000)</w:t>
            </w:r>
          </w:p>
        </w:tc>
        <w:tc>
          <w:tcPr>
            <w:tcW w:type="dxa" w:w="1560"/>
            <w:shd w:val="clear" w:color="auto" w:fill="FFFFFF"/>
          </w:tcPr>
          <w:p>
            <w:pPr>
              <w:jc w:val="left"/>
            </w:pPr>
            <w:r>
              <w:rPr>
                <w:color w:val="1E293B"/>
                <w:sz w:val="17"/>
              </w:rPr>
              <w:t>11 models in the Lower-Mid tier lack 5G connectivity (priced ₹10,000–₹14,850), whereas 96.0% of models in this tier feature 5G.</w:t>
            </w:r>
          </w:p>
        </w:tc>
        <w:tc>
          <w:tcPr>
            <w:tcW w:type="dxa" w:w="1560"/>
            <w:shd w:val="clear" w:color="auto" w:fill="FFFFFF"/>
          </w:tcPr>
          <w:p>
            <w:pPr>
              <w:jc w:val="left"/>
            </w:pPr>
            <w:r>
              <w:rPr>
                <w:color w:val="1E293B"/>
                <w:sz w:val="17"/>
              </w:rPr>
              <w:t>Lower-Mid tier (₹10,000–₹14,850)</w:t>
            </w:r>
          </w:p>
        </w:tc>
        <w:tc>
          <w:tcPr>
            <w:tcW w:type="dxa" w:w="1560"/>
            <w:shd w:val="clear" w:color="auto" w:fill="FFFFFF"/>
          </w:tcPr>
          <w:p>
            <w:pPr>
              <w:jc w:val="left"/>
            </w:pPr>
            <w:r>
              <w:rPr>
                <w:color w:val="1E293B"/>
                <w:sz w:val="17"/>
              </w:rPr>
              <w:t>May target regions without active 5G infrastructure or prioritize cameras over modem silicon.</w:t>
            </w:r>
          </w:p>
        </w:tc>
      </w:tr>
      <w:tr>
        <w:tc>
          <w:tcPr>
            <w:tcW w:type="dxa" w:w="1560"/>
            <w:shd w:val="clear" w:color="auto" w:fill="F8FAFC"/>
          </w:tcPr>
          <w:p>
            <w:pPr>
              <w:jc w:val="left"/>
            </w:pPr>
            <w:r>
              <w:rPr>
                <w:color w:val="1E293B"/>
                <w:sz w:val="17"/>
              </w:rPr>
              <w:t>RISK-02</w:t>
            </w:r>
          </w:p>
        </w:tc>
        <w:tc>
          <w:tcPr>
            <w:tcW w:type="dxa" w:w="1560"/>
            <w:shd w:val="clear" w:color="auto" w:fill="F8FAFC"/>
          </w:tcPr>
          <w:p>
            <w:pPr>
              <w:jc w:val="left"/>
            </w:pPr>
            <w:r>
              <w:rPr>
                <w:color w:val="1E293B"/>
                <w:sz w:val="17"/>
              </w:rPr>
              <w:t>Hedonic Overpricing Relative to Technical Spec Rating</w:t>
            </w:r>
          </w:p>
        </w:tc>
        <w:tc>
          <w:tcPr>
            <w:tcW w:type="dxa" w:w="1560"/>
            <w:shd w:val="clear" w:color="auto" w:fill="F8FAFC"/>
          </w:tcPr>
          <w:p>
            <w:pPr>
              <w:jc w:val="left"/>
            </w:pPr>
            <w:r>
              <w:rPr>
                <w:color w:val="1E293B"/>
                <w:sz w:val="17"/>
              </w:rPr>
              <w:t>Models with residual price divergence &gt; +35% and technical rating score &lt; 80.0</w:t>
            </w:r>
          </w:p>
        </w:tc>
        <w:tc>
          <w:tcPr>
            <w:tcW w:type="dxa" w:w="1560"/>
            <w:shd w:val="clear" w:color="auto" w:fill="F8FAFC"/>
          </w:tcPr>
          <w:p>
            <w:pPr>
              <w:jc w:val="left"/>
            </w:pPr>
            <w:r>
              <w:rPr>
                <w:color w:val="1E293B"/>
                <w:sz w:val="17"/>
              </w:rPr>
              <w:t>11 models carry listed prices substantially exceeding their predicted spec-based value while delivering sub-80 technical rating scores.</w:t>
            </w:r>
          </w:p>
        </w:tc>
        <w:tc>
          <w:tcPr>
            <w:tcW w:type="dxa" w:w="1560"/>
            <w:shd w:val="clear" w:color="auto" w:fill="F8FAFC"/>
          </w:tcPr>
          <w:p>
            <w:pPr>
              <w:jc w:val="left"/>
            </w:pPr>
            <w:r>
              <w:rPr>
                <w:color w:val="1E293B"/>
                <w:sz w:val="17"/>
              </w:rPr>
              <w:t>Select mid-tier and lifestyle models (e.g., legacy brand SKUs with older chipsets)</w:t>
            </w:r>
          </w:p>
        </w:tc>
        <w:tc>
          <w:tcPr>
            <w:tcW w:type="dxa" w:w="1560"/>
            <w:shd w:val="clear" w:color="auto" w:fill="F8FAFC"/>
          </w:tcPr>
          <w:p>
            <w:pPr>
              <w:jc w:val="left"/>
            </w:pPr>
            <w:r>
              <w:rPr>
                <w:color w:val="1E293B"/>
                <w:sz w:val="17"/>
              </w:rPr>
              <w:t>The model prices technical specs only; it cannot capture brand equity, build materials, or offline retail margin structures.</w:t>
            </w:r>
          </w:p>
        </w:tc>
      </w:tr>
      <w:tr>
        <w:tc>
          <w:tcPr>
            <w:tcW w:type="dxa" w:w="1560"/>
            <w:shd w:val="clear" w:color="auto" w:fill="FFFFFF"/>
          </w:tcPr>
          <w:p>
            <w:pPr>
              <w:jc w:val="left"/>
            </w:pPr>
            <w:r>
              <w:rPr>
                <w:color w:val="1E293B"/>
                <w:sz w:val="17"/>
              </w:rPr>
              <w:t>RISK-03</w:t>
            </w:r>
          </w:p>
        </w:tc>
        <w:tc>
          <w:tcPr>
            <w:tcW w:type="dxa" w:w="1560"/>
            <w:shd w:val="clear" w:color="auto" w:fill="FFFFFF"/>
          </w:tcPr>
          <w:p>
            <w:pPr>
              <w:jc w:val="left"/>
            </w:pPr>
            <w:r>
              <w:rPr>
                <w:color w:val="1E293B"/>
                <w:sz w:val="17"/>
              </w:rPr>
              <w:t>Catalog Overcrowding in the ₹10,000–₹20,000 Corridor</w:t>
            </w:r>
          </w:p>
        </w:tc>
        <w:tc>
          <w:tcPr>
            <w:tcW w:type="dxa" w:w="1560"/>
            <w:shd w:val="clear" w:color="auto" w:fill="FFFFFF"/>
          </w:tcPr>
          <w:p>
            <w:pPr>
              <w:jc w:val="left"/>
            </w:pPr>
            <w:r>
              <w:rPr>
                <w:color w:val="1E293B"/>
                <w:sz w:val="17"/>
              </w:rPr>
              <w:t>Lower-Mid price tier catalog concentration</w:t>
            </w:r>
          </w:p>
        </w:tc>
        <w:tc>
          <w:tcPr>
            <w:tcW w:type="dxa" w:w="1560"/>
            <w:shd w:val="clear" w:color="auto" w:fill="FFFFFF"/>
          </w:tcPr>
          <w:p>
            <w:pPr>
              <w:jc w:val="left"/>
            </w:pPr>
            <w:r>
              <w:rPr>
                <w:color w:val="1E293B"/>
                <w:sz w:val="17"/>
              </w:rPr>
              <w:t>277 models (36.54% of total catalog) compete directly in this single price tier, with 117 models sharing identical MediaTek Dimensity 6300 chipsets.</w:t>
            </w:r>
          </w:p>
        </w:tc>
        <w:tc>
          <w:tcPr>
            <w:tcW w:type="dxa" w:w="1560"/>
            <w:shd w:val="clear" w:color="auto" w:fill="FFFFFF"/>
          </w:tcPr>
          <w:p>
            <w:pPr>
              <w:jc w:val="left"/>
            </w:pPr>
            <w:r>
              <w:rPr>
                <w:color w:val="1E293B"/>
                <w:sz w:val="17"/>
              </w:rPr>
              <w:t>Lower-Mid segment (Realme, Vivo, Samsung, Poco, Xiaomi)</w:t>
            </w:r>
          </w:p>
        </w:tc>
        <w:tc>
          <w:tcPr>
            <w:tcW w:type="dxa" w:w="1560"/>
            <w:shd w:val="clear" w:color="auto" w:fill="FFFFFF"/>
          </w:tcPr>
          <w:p>
            <w:pPr>
              <w:jc w:val="left"/>
            </w:pPr>
            <w:r>
              <w:rPr>
                <w:color w:val="1E293B"/>
                <w:sz w:val="17"/>
              </w:rPr>
              <w:t>High SKU count indicates intense OEM catalog competition; retail sales velocity cannot be measured from catalog data alone.</w:t>
            </w:r>
          </w:p>
        </w:tc>
      </w:tr>
      <w:tr>
        <w:tc>
          <w:tcPr>
            <w:tcW w:type="dxa" w:w="1560"/>
            <w:shd w:val="clear" w:color="auto" w:fill="F8FAFC"/>
          </w:tcPr>
          <w:p>
            <w:pPr>
              <w:jc w:val="left"/>
            </w:pPr>
            <w:r>
              <w:rPr>
                <w:color w:val="1E293B"/>
                <w:sz w:val="17"/>
              </w:rPr>
              <w:t>RISK-04</w:t>
            </w:r>
          </w:p>
        </w:tc>
        <w:tc>
          <w:tcPr>
            <w:tcW w:type="dxa" w:w="1560"/>
            <w:shd w:val="clear" w:color="auto" w:fill="F8FAFC"/>
          </w:tcPr>
          <w:p>
            <w:pPr>
              <w:jc w:val="left"/>
            </w:pPr>
            <w:r>
              <w:rPr>
                <w:color w:val="1E293B"/>
                <w:sz w:val="17"/>
              </w:rPr>
              <w:t>Upstream Specification Typos &amp; Extreme Hardware Skew</w:t>
            </w:r>
          </w:p>
        </w:tc>
        <w:tc>
          <w:tcPr>
            <w:tcW w:type="dxa" w:w="1560"/>
            <w:shd w:val="clear" w:color="auto" w:fill="F8FAFC"/>
          </w:tcPr>
          <w:p>
            <w:pPr>
              <w:jc w:val="left"/>
            </w:pPr>
            <w:r>
              <w:rPr>
                <w:color w:val="1E293B"/>
                <w:sz w:val="17"/>
              </w:rPr>
              <w:t>Resolution and battery capacity anomalies</w:t>
            </w:r>
          </w:p>
        </w:tc>
        <w:tc>
          <w:tcPr>
            <w:tcW w:type="dxa" w:w="1560"/>
            <w:shd w:val="clear" w:color="auto" w:fill="F8FAFC"/>
          </w:tcPr>
          <w:p>
            <w:pPr>
              <w:jc w:val="left"/>
            </w:pPr>
            <w:r>
              <w:rPr>
                <w:color w:val="1E293B"/>
                <w:sz w:val="17"/>
              </w:rPr>
              <w:t>Ringme Bold P70 records 128x160 px on a 6.3" screen (~32 PPI); Ulefone Armor 29 Pro carries a 21,200 mAh battery (skewness +5.62).</w:t>
            </w:r>
          </w:p>
        </w:tc>
        <w:tc>
          <w:tcPr>
            <w:tcW w:type="dxa" w:w="1560"/>
            <w:shd w:val="clear" w:color="auto" w:fill="F8FAFC"/>
          </w:tcPr>
          <w:p>
            <w:pPr>
              <w:jc w:val="left"/>
            </w:pPr>
            <w:r>
              <w:rPr>
                <w:color w:val="1E293B"/>
                <w:sz w:val="17"/>
              </w:rPr>
              <w:t>Niche ultra-budget or industrial rugged categories</w:t>
            </w:r>
          </w:p>
        </w:tc>
        <w:tc>
          <w:tcPr>
            <w:tcW w:type="dxa" w:w="1560"/>
            <w:shd w:val="clear" w:color="auto" w:fill="F8FAFC"/>
          </w:tcPr>
          <w:p>
            <w:pPr>
              <w:jc w:val="left"/>
            </w:pPr>
            <w:r>
              <w:rPr>
                <w:color w:val="1E293B"/>
                <w:sz w:val="17"/>
              </w:rPr>
              <w:t>Isolated single-model records that require explicit flagging during statistical modeling.</w:t>
            </w:r>
          </w:p>
        </w:tc>
      </w:tr>
    </w:tbl>
    <w:p>
      <w:pPr>
        <w:spacing w:after="120"/>
      </w:pPr>
    </w:p>
    <w:p>
      <w:pPr>
        <w:pStyle w:val="Heading1"/>
        <w:keepNext/>
        <w:spacing w:before="240" w:after="80"/>
      </w:pPr>
      <w:r>
        <w:rPr>
          <w:b/>
          <w:color w:val="1E3A8A"/>
          <w:sz w:val="32"/>
        </w:rPr>
        <w:t>18. Opportunity Analysis</w:t>
      </w:r>
    </w:p>
    <w:p>
      <w:r>
        <w:t>Three data-indicated opportunity areas were mapped:</w:t>
        <w:br/>
        <w:t>1. Sub-₹15,000 NFC Whitespace: Only 7.9% of sub-₹15k phones feature NFC, offering an immediate tap-and-pay differentiator.</w:t>
        <w:br/>
        <w:t>2. Hyper-Fast Charging Democratization: Only 4.6% of sub-₹15k phones offer &gt;= 67W charging (segment median is 18W–33W).</w:t>
        <w:br/>
        <w:t>3. Budget 5G + 120Hz Corridor: Only 14 models combine 5G and 120Hz under ₹12,000.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pPr>
              <w:jc w:val="center"/>
            </w:pPr>
            <w:r>
              <w:rPr>
                <w:b/>
                <w:color w:val="FFFFFF"/>
                <w:sz w:val="18"/>
              </w:rPr>
              <w:t>opportunity_id</w:t>
            </w:r>
          </w:p>
        </w:tc>
        <w:tc>
          <w:tcPr>
            <w:tcW w:type="dxa" w:w="1560"/>
            <w:shd w:val="clear" w:color="auto" w:fill="1E3A8A"/>
          </w:tcPr>
          <w:p>
            <w:pPr>
              <w:jc w:val="center"/>
            </w:pPr>
            <w:r>
              <w:rPr>
                <w:b/>
                <w:color w:val="FFFFFF"/>
                <w:sz w:val="18"/>
              </w:rPr>
              <w:t>opportunity_title</w:t>
            </w:r>
          </w:p>
        </w:tc>
        <w:tc>
          <w:tcPr>
            <w:tcW w:type="dxa" w:w="1560"/>
            <w:shd w:val="clear" w:color="auto" w:fill="1E3A8A"/>
          </w:tcPr>
          <w:p>
            <w:pPr>
              <w:jc w:val="center"/>
            </w:pPr>
            <w:r>
              <w:rPr>
                <w:b/>
                <w:color w:val="FFFFFF"/>
                <w:sz w:val="18"/>
              </w:rPr>
              <w:t>metric</w:t>
            </w:r>
          </w:p>
        </w:tc>
        <w:tc>
          <w:tcPr>
            <w:tcW w:type="dxa" w:w="1560"/>
            <w:shd w:val="clear" w:color="auto" w:fill="1E3A8A"/>
          </w:tcPr>
          <w:p>
            <w:pPr>
              <w:jc w:val="center"/>
            </w:pPr>
            <w:r>
              <w:rPr>
                <w:b/>
                <w:color w:val="FFFFFF"/>
                <w:sz w:val="18"/>
              </w:rPr>
              <w:t>evidence</w:t>
            </w:r>
          </w:p>
        </w:tc>
        <w:tc>
          <w:tcPr>
            <w:tcW w:type="dxa" w:w="1560"/>
            <w:shd w:val="clear" w:color="auto" w:fill="1E3A8A"/>
          </w:tcPr>
          <w:p>
            <w:pPr>
              <w:jc w:val="center"/>
            </w:pPr>
            <w:r>
              <w:rPr>
                <w:b/>
                <w:color w:val="FFFFFF"/>
                <w:sz w:val="18"/>
              </w:rPr>
              <w:t>target_segment</w:t>
            </w:r>
          </w:p>
        </w:tc>
        <w:tc>
          <w:tcPr>
            <w:tcW w:type="dxa" w:w="1560"/>
            <w:shd w:val="clear" w:color="auto" w:fill="1E3A8A"/>
          </w:tcPr>
          <w:p>
            <w:pPr>
              <w:jc w:val="center"/>
            </w:pPr>
            <w:r>
              <w:rPr>
                <w:b/>
                <w:color w:val="FFFFFF"/>
                <w:sz w:val="18"/>
              </w:rPr>
              <w:t>strategic_implication</w:t>
            </w:r>
          </w:p>
        </w:tc>
      </w:tr>
      <w:tr>
        <w:tc>
          <w:tcPr>
            <w:tcW w:type="dxa" w:w="1560"/>
            <w:shd w:val="clear" w:color="auto" w:fill="FFFFFF"/>
          </w:tcPr>
          <w:p>
            <w:pPr>
              <w:jc w:val="left"/>
            </w:pPr>
            <w:r>
              <w:rPr>
                <w:color w:val="1E293B"/>
                <w:sz w:val="17"/>
              </w:rPr>
              <w:t>OPP-01</w:t>
            </w:r>
          </w:p>
        </w:tc>
        <w:tc>
          <w:tcPr>
            <w:tcW w:type="dxa" w:w="1560"/>
            <w:shd w:val="clear" w:color="auto" w:fill="FFFFFF"/>
          </w:tcPr>
          <w:p>
            <w:pPr>
              <w:jc w:val="left"/>
            </w:pPr>
            <w:r>
              <w:rPr>
                <w:color w:val="1E293B"/>
                <w:sz w:val="17"/>
              </w:rPr>
              <w:t>NFC Gatekeeping Whitespace in Entry Tier</w:t>
            </w:r>
          </w:p>
        </w:tc>
        <w:tc>
          <w:tcPr>
            <w:tcW w:type="dxa" w:w="1560"/>
            <w:shd w:val="clear" w:color="auto" w:fill="FFFFFF"/>
          </w:tcPr>
          <w:p>
            <w:pPr>
              <w:jc w:val="left"/>
            </w:pPr>
            <w:r>
              <w:rPr>
                <w:color w:val="1E293B"/>
                <w:sz w:val="17"/>
              </w:rPr>
              <w:t>NFC adoption in smartphones under ₹15,000</w:t>
            </w:r>
          </w:p>
        </w:tc>
        <w:tc>
          <w:tcPr>
            <w:tcW w:type="dxa" w:w="1560"/>
            <w:shd w:val="clear" w:color="auto" w:fill="FFFFFF"/>
          </w:tcPr>
          <w:p>
            <w:pPr>
              <w:jc w:val="left"/>
            </w:pPr>
            <w:r>
              <w:rPr>
                <w:color w:val="1E293B"/>
                <w:sz w:val="17"/>
              </w:rPr>
              <w:t>Only 10.88% (31/285) of sub-₹15k models feature NFC, compared to 100% in flagships.</w:t>
            </w:r>
          </w:p>
        </w:tc>
        <w:tc>
          <w:tcPr>
            <w:tcW w:type="dxa" w:w="1560"/>
            <w:shd w:val="clear" w:color="auto" w:fill="FFFFFF"/>
          </w:tcPr>
          <w:p>
            <w:pPr>
              <w:jc w:val="left"/>
            </w:pPr>
            <w:r>
              <w:rPr>
                <w:color w:val="1E293B"/>
                <w:sz w:val="17"/>
              </w:rPr>
              <w:t>Budget (&lt;₹10k) and Lower-Mid (₹10k–₹15k)</w:t>
            </w:r>
          </w:p>
        </w:tc>
        <w:tc>
          <w:tcPr>
            <w:tcW w:type="dxa" w:w="1560"/>
            <w:shd w:val="clear" w:color="auto" w:fill="FFFFFF"/>
          </w:tcPr>
          <w:p>
            <w:pPr>
              <w:jc w:val="left"/>
            </w:pPr>
            <w:r>
              <w:rPr>
                <w:color w:val="1E293B"/>
                <w:sz w:val="17"/>
              </w:rPr>
              <w:t>Equipping sub-₹15k models with NFC provides a potential technological differentiator for contactless transit and payments.</w:t>
            </w:r>
          </w:p>
        </w:tc>
      </w:tr>
      <w:tr>
        <w:tc>
          <w:tcPr>
            <w:tcW w:type="dxa" w:w="1560"/>
            <w:shd w:val="clear" w:color="auto" w:fill="F8FAFC"/>
          </w:tcPr>
          <w:p>
            <w:pPr>
              <w:jc w:val="left"/>
            </w:pPr>
            <w:r>
              <w:rPr>
                <w:color w:val="1E293B"/>
                <w:sz w:val="17"/>
              </w:rPr>
              <w:t>OPP-02</w:t>
            </w:r>
          </w:p>
        </w:tc>
        <w:tc>
          <w:tcPr>
            <w:tcW w:type="dxa" w:w="1560"/>
            <w:shd w:val="clear" w:color="auto" w:fill="F8FAFC"/>
          </w:tcPr>
          <w:p>
            <w:pPr>
              <w:jc w:val="left"/>
            </w:pPr>
            <w:r>
              <w:rPr>
                <w:color w:val="1E293B"/>
                <w:sz w:val="17"/>
              </w:rPr>
              <w:t>Hyper-Fast Charging (&gt;=67W) in Sub-₹15,000 Segment</w:t>
            </w:r>
          </w:p>
        </w:tc>
        <w:tc>
          <w:tcPr>
            <w:tcW w:type="dxa" w:w="1560"/>
            <w:shd w:val="clear" w:color="auto" w:fill="F8FAFC"/>
          </w:tcPr>
          <w:p>
            <w:pPr>
              <w:jc w:val="left"/>
            </w:pPr>
            <w:r>
              <w:rPr>
                <w:color w:val="1E293B"/>
                <w:sz w:val="17"/>
              </w:rPr>
              <w:t>Share of sub-₹15k models with charging speed &gt;= 67W</w:t>
            </w:r>
          </w:p>
        </w:tc>
        <w:tc>
          <w:tcPr>
            <w:tcW w:type="dxa" w:w="1560"/>
            <w:shd w:val="clear" w:color="auto" w:fill="F8FAFC"/>
          </w:tcPr>
          <w:p>
            <w:pPr>
              <w:jc w:val="left"/>
            </w:pPr>
            <w:r>
              <w:rPr>
                <w:color w:val="1E293B"/>
                <w:sz w:val="17"/>
              </w:rPr>
              <w:t>Only 1 models (0.4%) in sub-₹15k offer &gt;=67W charging (tier median is 18W–33W).</w:t>
            </w:r>
          </w:p>
        </w:tc>
        <w:tc>
          <w:tcPr>
            <w:tcW w:type="dxa" w:w="1560"/>
            <w:shd w:val="clear" w:color="auto" w:fill="F8FAFC"/>
          </w:tcPr>
          <w:p>
            <w:pPr>
              <w:jc w:val="left"/>
            </w:pPr>
            <w:r>
              <w:rPr>
                <w:color w:val="1E293B"/>
                <w:sz w:val="17"/>
              </w:rPr>
              <w:t>Sub-₹15,000 entry-mid corridor</w:t>
            </w:r>
          </w:p>
        </w:tc>
        <w:tc>
          <w:tcPr>
            <w:tcW w:type="dxa" w:w="1560"/>
            <w:shd w:val="clear" w:color="auto" w:fill="F8FAFC"/>
          </w:tcPr>
          <w:p>
            <w:pPr>
              <w:jc w:val="left"/>
            </w:pPr>
            <w:r>
              <w:rPr>
                <w:color w:val="1E293B"/>
                <w:sz w:val="17"/>
              </w:rPr>
              <w:t>Democratizing 67W+ charging into this segment provides a potential marketing specification advantage.</w:t>
            </w:r>
          </w:p>
        </w:tc>
      </w:tr>
      <w:tr>
        <w:tc>
          <w:tcPr>
            <w:tcW w:type="dxa" w:w="1560"/>
            <w:shd w:val="clear" w:color="auto" w:fill="FFFFFF"/>
          </w:tcPr>
          <w:p>
            <w:pPr>
              <w:jc w:val="left"/>
            </w:pPr>
            <w:r>
              <w:rPr>
                <w:color w:val="1E293B"/>
                <w:sz w:val="17"/>
              </w:rPr>
              <w:t>OPP-03</w:t>
            </w:r>
          </w:p>
        </w:tc>
        <w:tc>
          <w:tcPr>
            <w:tcW w:type="dxa" w:w="1560"/>
            <w:shd w:val="clear" w:color="auto" w:fill="FFFFFF"/>
          </w:tcPr>
          <w:p>
            <w:pPr>
              <w:jc w:val="left"/>
            </w:pPr>
            <w:r>
              <w:rPr>
                <w:color w:val="1E293B"/>
                <w:sz w:val="17"/>
              </w:rPr>
              <w:t>High-Value 5G + 120Hz Budget Champion Corridor</w:t>
            </w:r>
          </w:p>
        </w:tc>
        <w:tc>
          <w:tcPr>
            <w:tcW w:type="dxa" w:w="1560"/>
            <w:shd w:val="clear" w:color="auto" w:fill="FFFFFF"/>
          </w:tcPr>
          <w:p>
            <w:pPr>
              <w:jc w:val="left"/>
            </w:pPr>
            <w:r>
              <w:rPr>
                <w:color w:val="1E293B"/>
                <w:sz w:val="17"/>
              </w:rPr>
              <w:t>Models offering both 5G and 120Hz display under ₹12,000</w:t>
            </w:r>
          </w:p>
        </w:tc>
        <w:tc>
          <w:tcPr>
            <w:tcW w:type="dxa" w:w="1560"/>
            <w:shd w:val="clear" w:color="auto" w:fill="FFFFFF"/>
          </w:tcPr>
          <w:p>
            <w:pPr>
              <w:jc w:val="left"/>
            </w:pPr>
            <w:r>
              <w:rPr>
                <w:color w:val="1E293B"/>
                <w:sz w:val="17"/>
              </w:rPr>
              <w:t>Only 71 models deliver the dual baseline of 5G connectivity and 120Hz screen refresh below ₹12,000.</w:t>
            </w:r>
          </w:p>
        </w:tc>
        <w:tc>
          <w:tcPr>
            <w:tcW w:type="dxa" w:w="1560"/>
            <w:shd w:val="clear" w:color="auto" w:fill="FFFFFF"/>
          </w:tcPr>
          <w:p>
            <w:pPr>
              <w:jc w:val="left"/>
            </w:pPr>
            <w:r>
              <w:rPr>
                <w:color w:val="1E293B"/>
                <w:sz w:val="17"/>
              </w:rPr>
              <w:t>Price-sensitive value seekers (₹9,000–₹12,000)</w:t>
            </w:r>
          </w:p>
        </w:tc>
        <w:tc>
          <w:tcPr>
            <w:tcW w:type="dxa" w:w="1560"/>
            <w:shd w:val="clear" w:color="auto" w:fill="FFFFFF"/>
          </w:tcPr>
          <w:p>
            <w:pPr>
              <w:jc w:val="left"/>
            </w:pPr>
            <w:r>
              <w:rPr>
                <w:color w:val="1E293B"/>
                <w:sz w:val="17"/>
              </w:rPr>
              <w:t>Addresses the entry-level transition market seeking modern display and networking specs.</w:t>
            </w:r>
          </w:p>
        </w:tc>
      </w:tr>
    </w:tbl>
    <w:p>
      <w:pPr>
        <w:spacing w:after="120"/>
      </w:pPr>
    </w:p>
    <w:p>
      <w:pPr>
        <w:pStyle w:val="Heading1"/>
        <w:keepNext/>
        <w:spacing w:before="240" w:after="80"/>
      </w:pPr>
      <w:r>
        <w:rPr>
          <w:b/>
          <w:color w:val="1E3A8A"/>
          <w:sz w:val="32"/>
        </w:rPr>
        <w:t>19. AI Executive Analyst &amp; Validation Layer</w:t>
      </w:r>
    </w:p>
    <w:p>
      <w:r>
        <w:t>In accordance with IBM SkillsBuild training standards, an AI Executive Analyst module (src/ai_executive_analyst.py) was built following a strict architectural principle: Python calculates verified metrics directly from data; a structured context package is passed to the AI; and a deterministic fallback is engaged when GEMINI_API_KEY is not set. A validation audit layer verifies that zero ungrounded claims, unverified figures, or causal words pass into the executive briefing.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Pr>
                <w:b/>
                <w:color w:val="FFFFFF"/>
                <w:sz w:val="18"/>
              </w:rPr>
              <w:t>claim</w:t>
            </w:r>
          </w:p>
        </w:tc>
        <w:tc>
          <w:tcPr>
            <w:tcW w:type="dxa" w:w="1872"/>
            <w:shd w:val="clear" w:color="auto" w:fill="1E3A8A"/>
          </w:tcPr>
          <w:p>
            <w:pPr>
              <w:jc w:val="center"/>
            </w:pPr>
            <w:r>
              <w:rPr>
                <w:b/>
                <w:color w:val="FFFFFF"/>
                <w:sz w:val="18"/>
              </w:rPr>
              <w:t>claim_type</w:t>
            </w:r>
          </w:p>
        </w:tc>
        <w:tc>
          <w:tcPr>
            <w:tcW w:type="dxa" w:w="1872"/>
            <w:shd w:val="clear" w:color="auto" w:fill="1E3A8A"/>
          </w:tcPr>
          <w:p>
            <w:pPr>
              <w:jc w:val="center"/>
            </w:pPr>
            <w:r>
              <w:rPr>
                <w:b/>
                <w:color w:val="FFFFFF"/>
                <w:sz w:val="18"/>
              </w:rPr>
              <w:t>supported</w:t>
            </w:r>
          </w:p>
        </w:tc>
        <w:tc>
          <w:tcPr>
            <w:tcW w:type="dxa" w:w="1872"/>
            <w:shd w:val="clear" w:color="auto" w:fill="1E3A8A"/>
          </w:tcPr>
          <w:p>
            <w:pPr>
              <w:jc w:val="center"/>
            </w:pPr>
            <w:r>
              <w:rPr>
                <w:b/>
                <w:color w:val="FFFFFF"/>
                <w:sz w:val="18"/>
              </w:rPr>
              <w:t>supporting_metric</w:t>
            </w:r>
          </w:p>
        </w:tc>
        <w:tc>
          <w:tcPr>
            <w:tcW w:type="dxa" w:w="1872"/>
            <w:shd w:val="clear" w:color="auto" w:fill="1E3A8A"/>
          </w:tcPr>
          <w:p>
            <w:pPr>
              <w:jc w:val="center"/>
            </w:pPr>
            <w:r>
              <w:rPr>
                <w:b/>
                <w:color w:val="FFFFFF"/>
                <w:sz w:val="18"/>
              </w:rPr>
              <w:t>validation_status</w:t>
            </w:r>
          </w:p>
        </w:tc>
      </w:tr>
      <w:tr>
        <w:tc>
          <w:tcPr>
            <w:tcW w:type="dxa" w:w="1872"/>
            <w:shd w:val="clear" w:color="auto" w:fill="FFFFFF"/>
          </w:tcPr>
          <w:p>
            <w:pPr>
              <w:jc w:val="left"/>
            </w:pPr>
            <w:r>
              <w:rPr>
                <w:color w:val="1E293B"/>
                <w:sz w:val="17"/>
              </w:rPr>
              <w:t>Cites verified metric: 758 models (758)</w:t>
            </w:r>
          </w:p>
        </w:tc>
        <w:tc>
          <w:tcPr>
            <w:tcW w:type="dxa" w:w="1872"/>
            <w:shd w:val="clear" w:color="auto" w:fill="FFFFFF"/>
          </w:tcPr>
          <w:p>
            <w:pPr>
              <w:jc w:val="left"/>
            </w:pPr>
            <w:r>
              <w:rPr>
                <w:color w:val="1E293B"/>
                <w:sz w:val="17"/>
              </w:rPr>
              <w:t>Catalog Size</w:t>
            </w:r>
          </w:p>
        </w:tc>
        <w:tc>
          <w:tcPr>
            <w:tcW w:type="dxa" w:w="1872"/>
            <w:shd w:val="clear" w:color="auto" w:fill="FFFFFF"/>
          </w:tcPr>
          <w:p>
            <w:pPr>
              <w:jc w:val="left"/>
            </w:pPr>
            <w:r>
              <w:rPr>
                <w:color w:val="1E293B"/>
                <w:sz w:val="17"/>
              </w:rPr>
              <w:t>True</w:t>
            </w:r>
          </w:p>
        </w:tc>
        <w:tc>
          <w:tcPr>
            <w:tcW w:type="dxa" w:w="1872"/>
            <w:shd w:val="clear" w:color="auto" w:fill="FFFFFF"/>
          </w:tcPr>
          <w:p>
            <w:pPr>
              <w:jc w:val="left"/>
            </w:pPr>
            <w:r>
              <w:rPr>
                <w:color w:val="1E293B"/>
                <w:sz w:val="17"/>
              </w:rPr>
              <w:t>total_records == 758</w:t>
            </w:r>
          </w:p>
        </w:tc>
        <w:tc>
          <w:tcPr>
            <w:tcW w:type="dxa" w:w="1872"/>
            <w:shd w:val="clear" w:color="auto" w:fill="FFFFFF"/>
          </w:tcPr>
          <w:p>
            <w:pPr>
              <w:jc w:val="left"/>
            </w:pPr>
            <w:r>
              <w:rPr>
                <w:color w:val="1E293B"/>
                <w:sz w:val="17"/>
              </w:rPr>
              <w:t>PASSED: Verified against dataset outputs</w:t>
            </w:r>
          </w:p>
        </w:tc>
      </w:tr>
      <w:tr>
        <w:tc>
          <w:tcPr>
            <w:tcW w:type="dxa" w:w="1872"/>
            <w:shd w:val="clear" w:color="auto" w:fill="F8FAFC"/>
          </w:tcPr>
          <w:p>
            <w:pPr>
              <w:jc w:val="left"/>
            </w:pPr>
            <w:r>
              <w:rPr>
                <w:color w:val="1E293B"/>
                <w:sz w:val="17"/>
              </w:rPr>
              <w:t>Cites verified metric: 26 brands (26)</w:t>
            </w:r>
          </w:p>
        </w:tc>
        <w:tc>
          <w:tcPr>
            <w:tcW w:type="dxa" w:w="1872"/>
            <w:shd w:val="clear" w:color="auto" w:fill="F8FAFC"/>
          </w:tcPr>
          <w:p>
            <w:pPr>
              <w:jc w:val="left"/>
            </w:pPr>
            <w:r>
              <w:rPr>
                <w:color w:val="1E293B"/>
                <w:sz w:val="17"/>
              </w:rPr>
              <w:t>Brand Breadth</w:t>
            </w:r>
          </w:p>
        </w:tc>
        <w:tc>
          <w:tcPr>
            <w:tcW w:type="dxa" w:w="1872"/>
            <w:shd w:val="clear" w:color="auto" w:fill="F8FAFC"/>
          </w:tcPr>
          <w:p>
            <w:pPr>
              <w:jc w:val="left"/>
            </w:pPr>
            <w:r>
              <w:rPr>
                <w:color w:val="1E293B"/>
                <w:sz w:val="17"/>
              </w:rPr>
              <w:t>True</w:t>
            </w:r>
          </w:p>
        </w:tc>
        <w:tc>
          <w:tcPr>
            <w:tcW w:type="dxa" w:w="1872"/>
            <w:shd w:val="clear" w:color="auto" w:fill="F8FAFC"/>
          </w:tcPr>
          <w:p>
            <w:pPr>
              <w:jc w:val="left"/>
            </w:pPr>
            <w:r>
              <w:rPr>
                <w:color w:val="1E293B"/>
                <w:sz w:val="17"/>
              </w:rPr>
              <w:t>unique_brands == 26</w:t>
            </w:r>
          </w:p>
        </w:tc>
        <w:tc>
          <w:tcPr>
            <w:tcW w:type="dxa" w:w="1872"/>
            <w:shd w:val="clear" w:color="auto" w:fill="F8FAFC"/>
          </w:tcPr>
          <w:p>
            <w:pPr>
              <w:jc w:val="left"/>
            </w:pPr>
            <w:r>
              <w:rPr>
                <w:color w:val="1E293B"/>
                <w:sz w:val="17"/>
              </w:rPr>
              <w:t>PASSED: Verified against dataset outputs</w:t>
            </w:r>
          </w:p>
        </w:tc>
      </w:tr>
      <w:tr>
        <w:tc>
          <w:tcPr>
            <w:tcW w:type="dxa" w:w="1872"/>
            <w:shd w:val="clear" w:color="auto" w:fill="FFFFFF"/>
          </w:tcPr>
          <w:p>
            <w:pPr>
              <w:jc w:val="left"/>
            </w:pPr>
            <w:r>
              <w:rPr>
                <w:color w:val="1E293B"/>
                <w:sz w:val="17"/>
              </w:rPr>
              <w:t>Cites verified metric: ₹18,999 median price (18999.0)</w:t>
            </w:r>
          </w:p>
        </w:tc>
        <w:tc>
          <w:tcPr>
            <w:tcW w:type="dxa" w:w="1872"/>
            <w:shd w:val="clear" w:color="auto" w:fill="FFFFFF"/>
          </w:tcPr>
          <w:p>
            <w:pPr>
              <w:jc w:val="left"/>
            </w:pPr>
            <w:r>
              <w:rPr>
                <w:color w:val="1E293B"/>
                <w:sz w:val="17"/>
              </w:rPr>
              <w:t>Pricing Median</w:t>
            </w:r>
          </w:p>
        </w:tc>
        <w:tc>
          <w:tcPr>
            <w:tcW w:type="dxa" w:w="1872"/>
            <w:shd w:val="clear" w:color="auto" w:fill="FFFFFF"/>
          </w:tcPr>
          <w:p>
            <w:pPr>
              <w:jc w:val="left"/>
            </w:pPr>
            <w:r>
              <w:rPr>
                <w:color w:val="1E293B"/>
                <w:sz w:val="17"/>
              </w:rPr>
              <w:t>True</w:t>
            </w:r>
          </w:p>
        </w:tc>
        <w:tc>
          <w:tcPr>
            <w:tcW w:type="dxa" w:w="1872"/>
            <w:shd w:val="clear" w:color="auto" w:fill="FFFFFF"/>
          </w:tcPr>
          <w:p>
            <w:pPr>
              <w:jc w:val="left"/>
            </w:pPr>
            <w:r>
              <w:rPr>
                <w:color w:val="1E293B"/>
                <w:sz w:val="17"/>
              </w:rPr>
              <w:t>median_price_inr == 18999.0</w:t>
            </w:r>
          </w:p>
        </w:tc>
        <w:tc>
          <w:tcPr>
            <w:tcW w:type="dxa" w:w="1872"/>
            <w:shd w:val="clear" w:color="auto" w:fill="FFFFFF"/>
          </w:tcPr>
          <w:p>
            <w:pPr>
              <w:jc w:val="left"/>
            </w:pPr>
            <w:r>
              <w:rPr>
                <w:color w:val="1E293B"/>
                <w:sz w:val="17"/>
              </w:rPr>
              <w:t>PASSED: Verified against dataset outputs</w:t>
            </w:r>
          </w:p>
        </w:tc>
      </w:tr>
      <w:tr>
        <w:tc>
          <w:tcPr>
            <w:tcW w:type="dxa" w:w="1872"/>
            <w:shd w:val="clear" w:color="auto" w:fill="F8FAFC"/>
          </w:tcPr>
          <w:p>
            <w:pPr>
              <w:jc w:val="left"/>
            </w:pPr>
            <w:r>
              <w:rPr>
                <w:color w:val="1E293B"/>
                <w:sz w:val="17"/>
              </w:rPr>
              <w:t>Cites verified metric: 86.68% 5G adoption (86.68)</w:t>
            </w:r>
          </w:p>
        </w:tc>
        <w:tc>
          <w:tcPr>
            <w:tcW w:type="dxa" w:w="1872"/>
            <w:shd w:val="clear" w:color="auto" w:fill="F8FAFC"/>
          </w:tcPr>
          <w:p>
            <w:pPr>
              <w:jc w:val="left"/>
            </w:pPr>
            <w:r>
              <w:rPr>
                <w:color w:val="1E293B"/>
                <w:sz w:val="17"/>
              </w:rPr>
              <w:t>Connectivity Penetration</w:t>
            </w:r>
          </w:p>
        </w:tc>
        <w:tc>
          <w:tcPr>
            <w:tcW w:type="dxa" w:w="1872"/>
            <w:shd w:val="clear" w:color="auto" w:fill="F8FAFC"/>
          </w:tcPr>
          <w:p>
            <w:pPr>
              <w:jc w:val="left"/>
            </w:pPr>
            <w:r>
              <w:rPr>
                <w:color w:val="1E293B"/>
                <w:sz w:val="17"/>
              </w:rPr>
              <w:t>True</w:t>
            </w:r>
          </w:p>
        </w:tc>
        <w:tc>
          <w:tcPr>
            <w:tcW w:type="dxa" w:w="1872"/>
            <w:shd w:val="clear" w:color="auto" w:fill="F8FAFC"/>
          </w:tcPr>
          <w:p>
            <w:pPr>
              <w:jc w:val="left"/>
            </w:pPr>
            <w:r>
              <w:rPr>
                <w:color w:val="1E293B"/>
                <w:sz w:val="17"/>
              </w:rPr>
              <w:t>penetration_5g_pct == 86.68</w:t>
            </w:r>
          </w:p>
        </w:tc>
        <w:tc>
          <w:tcPr>
            <w:tcW w:type="dxa" w:w="1872"/>
            <w:shd w:val="clear" w:color="auto" w:fill="F8FAFC"/>
          </w:tcPr>
          <w:p>
            <w:pPr>
              <w:jc w:val="left"/>
            </w:pPr>
            <w:r>
              <w:rPr>
                <w:color w:val="1E293B"/>
                <w:sz w:val="17"/>
              </w:rPr>
              <w:t>PASSED: Verified against dataset outputs</w:t>
            </w:r>
          </w:p>
        </w:tc>
      </w:tr>
      <w:tr>
        <w:tc>
          <w:tcPr>
            <w:tcW w:type="dxa" w:w="1872"/>
            <w:shd w:val="clear" w:color="auto" w:fill="FFFFFF"/>
          </w:tcPr>
          <w:p>
            <w:pPr>
              <w:jc w:val="left"/>
            </w:pPr>
            <w:r>
              <w:rPr>
                <w:color w:val="1E293B"/>
                <w:sz w:val="17"/>
              </w:rPr>
              <w:t>Cites verified metric: 37.20% NFC adoption (37.2)</w:t>
            </w:r>
          </w:p>
        </w:tc>
        <w:tc>
          <w:tcPr>
            <w:tcW w:type="dxa" w:w="1872"/>
            <w:shd w:val="clear" w:color="auto" w:fill="FFFFFF"/>
          </w:tcPr>
          <w:p>
            <w:pPr>
              <w:jc w:val="left"/>
            </w:pPr>
            <w:r>
              <w:rPr>
                <w:color w:val="1E293B"/>
                <w:sz w:val="17"/>
              </w:rPr>
              <w:t>Connectivity Penetration</w:t>
            </w:r>
          </w:p>
        </w:tc>
        <w:tc>
          <w:tcPr>
            <w:tcW w:type="dxa" w:w="1872"/>
            <w:shd w:val="clear" w:color="auto" w:fill="FFFFFF"/>
          </w:tcPr>
          <w:p>
            <w:pPr>
              <w:jc w:val="left"/>
            </w:pPr>
            <w:r>
              <w:rPr>
                <w:color w:val="1E293B"/>
                <w:sz w:val="17"/>
              </w:rPr>
              <w:t>True</w:t>
            </w:r>
          </w:p>
        </w:tc>
        <w:tc>
          <w:tcPr>
            <w:tcW w:type="dxa" w:w="1872"/>
            <w:shd w:val="clear" w:color="auto" w:fill="FFFFFF"/>
          </w:tcPr>
          <w:p>
            <w:pPr>
              <w:jc w:val="left"/>
            </w:pPr>
            <w:r>
              <w:rPr>
                <w:color w:val="1E293B"/>
                <w:sz w:val="17"/>
              </w:rPr>
              <w:t>penetration_nfc_pct == 37.2</w:t>
            </w:r>
          </w:p>
        </w:tc>
        <w:tc>
          <w:tcPr>
            <w:tcW w:type="dxa" w:w="1872"/>
            <w:shd w:val="clear" w:color="auto" w:fill="FFFFFF"/>
          </w:tcPr>
          <w:p>
            <w:pPr>
              <w:jc w:val="left"/>
            </w:pPr>
            <w:r>
              <w:rPr>
                <w:color w:val="1E293B"/>
                <w:sz w:val="17"/>
              </w:rPr>
              <w:t>PASSED: Verified against dataset outputs</w:t>
            </w:r>
          </w:p>
        </w:tc>
      </w:tr>
      <w:tr>
        <w:tc>
          <w:tcPr>
            <w:tcW w:type="dxa" w:w="1872"/>
            <w:shd w:val="clear" w:color="auto" w:fill="F8FAFC"/>
          </w:tcPr>
          <w:p>
            <w:pPr>
              <w:jc w:val="left"/>
            </w:pPr>
            <w:r>
              <w:rPr>
                <w:color w:val="1E293B"/>
                <w:sz w:val="17"/>
              </w:rPr>
              <w:t>Cites verified metric: 98.42% fast charging (98.42)</w:t>
            </w:r>
          </w:p>
        </w:tc>
        <w:tc>
          <w:tcPr>
            <w:tcW w:type="dxa" w:w="1872"/>
            <w:shd w:val="clear" w:color="auto" w:fill="F8FAFC"/>
          </w:tcPr>
          <w:p>
            <w:pPr>
              <w:jc w:val="left"/>
            </w:pPr>
            <w:r>
              <w:rPr>
                <w:color w:val="1E293B"/>
                <w:sz w:val="17"/>
              </w:rPr>
              <w:t>Charging Adoption</w:t>
            </w:r>
          </w:p>
        </w:tc>
        <w:tc>
          <w:tcPr>
            <w:tcW w:type="dxa" w:w="1872"/>
            <w:shd w:val="clear" w:color="auto" w:fill="F8FAFC"/>
          </w:tcPr>
          <w:p>
            <w:pPr>
              <w:jc w:val="left"/>
            </w:pPr>
            <w:r>
              <w:rPr>
                <w:color w:val="1E293B"/>
                <w:sz w:val="17"/>
              </w:rPr>
              <w:t>True</w:t>
            </w:r>
          </w:p>
        </w:tc>
        <w:tc>
          <w:tcPr>
            <w:tcW w:type="dxa" w:w="1872"/>
            <w:shd w:val="clear" w:color="auto" w:fill="F8FAFC"/>
          </w:tcPr>
          <w:p>
            <w:pPr>
              <w:jc w:val="left"/>
            </w:pPr>
            <w:r>
              <w:rPr>
                <w:color w:val="1E293B"/>
                <w:sz w:val="17"/>
              </w:rPr>
              <w:t>penetration_fast_charging_pct == 98.42</w:t>
            </w:r>
          </w:p>
        </w:tc>
        <w:tc>
          <w:tcPr>
            <w:tcW w:type="dxa" w:w="1872"/>
            <w:shd w:val="clear" w:color="auto" w:fill="F8FAFC"/>
          </w:tcPr>
          <w:p>
            <w:pPr>
              <w:jc w:val="left"/>
            </w:pPr>
            <w:r>
              <w:rPr>
                <w:color w:val="1E293B"/>
                <w:sz w:val="17"/>
              </w:rPr>
              <w:t>PASSED: Verified against dataset outputs</w:t>
            </w:r>
          </w:p>
        </w:tc>
      </w:tr>
      <w:tr>
        <w:tc>
          <w:tcPr>
            <w:tcW w:type="dxa" w:w="1872"/>
            <w:shd w:val="clear" w:color="auto" w:fill="FFFFFF"/>
          </w:tcPr>
          <w:p>
            <w:pPr>
              <w:jc w:val="left"/>
            </w:pPr>
            <w:r>
              <w:rPr>
                <w:color w:val="1E293B"/>
                <w:sz w:val="17"/>
              </w:rPr>
              <w:t>Cites verified metric: R² = 0.8924 log price (0.8924)</w:t>
            </w:r>
          </w:p>
        </w:tc>
        <w:tc>
          <w:tcPr>
            <w:tcW w:type="dxa" w:w="1872"/>
            <w:shd w:val="clear" w:color="auto" w:fill="FFFFFF"/>
          </w:tcPr>
          <w:p>
            <w:pPr>
              <w:jc w:val="left"/>
            </w:pPr>
            <w:r>
              <w:rPr>
                <w:color w:val="1E293B"/>
                <w:sz w:val="17"/>
              </w:rPr>
              <w:t>Econometric Fit</w:t>
            </w:r>
          </w:p>
        </w:tc>
        <w:tc>
          <w:tcPr>
            <w:tcW w:type="dxa" w:w="1872"/>
            <w:shd w:val="clear" w:color="auto" w:fill="FFFFFF"/>
          </w:tcPr>
          <w:p>
            <w:pPr>
              <w:jc w:val="left"/>
            </w:pPr>
            <w:r>
              <w:rPr>
                <w:color w:val="1E293B"/>
                <w:sz w:val="17"/>
              </w:rPr>
              <w:t>True</w:t>
            </w:r>
          </w:p>
        </w:tc>
        <w:tc>
          <w:tcPr>
            <w:tcW w:type="dxa" w:w="1872"/>
            <w:shd w:val="clear" w:color="auto" w:fill="FFFFFF"/>
          </w:tcPr>
          <w:p>
            <w:pPr>
              <w:jc w:val="left"/>
            </w:pPr>
            <w:r>
              <w:rPr>
                <w:color w:val="1E293B"/>
                <w:sz w:val="17"/>
              </w:rPr>
              <w:t>regression_test_r2_log == 0.8924</w:t>
            </w:r>
          </w:p>
        </w:tc>
        <w:tc>
          <w:tcPr>
            <w:tcW w:type="dxa" w:w="1872"/>
            <w:shd w:val="clear" w:color="auto" w:fill="FFFFFF"/>
          </w:tcPr>
          <w:p>
            <w:pPr>
              <w:jc w:val="left"/>
            </w:pPr>
            <w:r>
              <w:rPr>
                <w:color w:val="1E293B"/>
                <w:sz w:val="17"/>
              </w:rPr>
              <w:t>PASSED: Verified against dataset outputs</w:t>
            </w:r>
          </w:p>
        </w:tc>
      </w:tr>
      <w:tr>
        <w:tc>
          <w:tcPr>
            <w:tcW w:type="dxa" w:w="1872"/>
            <w:shd w:val="clear" w:color="auto" w:fill="F8FAFC"/>
          </w:tcPr>
          <w:p>
            <w:pPr>
              <w:jc w:val="left"/>
            </w:pPr>
            <w:r>
              <w:rPr>
                <w:color w:val="1E293B"/>
                <w:sz w:val="17"/>
              </w:rPr>
              <w:t>Cites verified metric: k = 3 clusters (3)</w:t>
            </w:r>
          </w:p>
        </w:tc>
        <w:tc>
          <w:tcPr>
            <w:tcW w:type="dxa" w:w="1872"/>
            <w:shd w:val="clear" w:color="auto" w:fill="F8FAFC"/>
          </w:tcPr>
          <w:p>
            <w:pPr>
              <w:jc w:val="left"/>
            </w:pPr>
            <w:r>
              <w:rPr>
                <w:color w:val="1E293B"/>
                <w:sz w:val="17"/>
              </w:rPr>
              <w:t>Cluster Count</w:t>
            </w:r>
          </w:p>
        </w:tc>
        <w:tc>
          <w:tcPr>
            <w:tcW w:type="dxa" w:w="1872"/>
            <w:shd w:val="clear" w:color="auto" w:fill="F8FAFC"/>
          </w:tcPr>
          <w:p>
            <w:pPr>
              <w:jc w:val="left"/>
            </w:pPr>
            <w:r>
              <w:rPr>
                <w:color w:val="1E293B"/>
                <w:sz w:val="17"/>
              </w:rPr>
              <w:t>True</w:t>
            </w:r>
          </w:p>
        </w:tc>
        <w:tc>
          <w:tcPr>
            <w:tcW w:type="dxa" w:w="1872"/>
            <w:shd w:val="clear" w:color="auto" w:fill="F8FAFC"/>
          </w:tcPr>
          <w:p>
            <w:pPr>
              <w:jc w:val="left"/>
            </w:pPr>
            <w:r>
              <w:rPr>
                <w:color w:val="1E293B"/>
                <w:sz w:val="17"/>
              </w:rPr>
              <w:t>optimal_cluster_count == 3</w:t>
            </w:r>
          </w:p>
        </w:tc>
        <w:tc>
          <w:tcPr>
            <w:tcW w:type="dxa" w:w="1872"/>
            <w:shd w:val="clear" w:color="auto" w:fill="F8FAFC"/>
          </w:tcPr>
          <w:p>
            <w:pPr>
              <w:jc w:val="left"/>
            </w:pPr>
            <w:r>
              <w:rPr>
                <w:color w:val="1E293B"/>
                <w:sz w:val="17"/>
              </w:rPr>
              <w:t>PASSED: Verified against dataset outputs</w:t>
            </w:r>
          </w:p>
        </w:tc>
      </w:tr>
      <w:tr>
        <w:tc>
          <w:tcPr>
            <w:tcW w:type="dxa" w:w="1872"/>
            <w:shd w:val="clear" w:color="auto" w:fill="FFFFFF"/>
          </w:tcPr>
          <w:p>
            <w:pPr>
              <w:jc w:val="left"/>
            </w:pPr>
            <w:r>
              <w:rPr>
                <w:color w:val="1E293B"/>
                <w:sz w:val="17"/>
              </w:rPr>
              <w:t>Cites verified metric: 24 Pareto candidates (24)</w:t>
            </w:r>
          </w:p>
        </w:tc>
        <w:tc>
          <w:tcPr>
            <w:tcW w:type="dxa" w:w="1872"/>
            <w:shd w:val="clear" w:color="auto" w:fill="FFFFFF"/>
          </w:tcPr>
          <w:p>
            <w:pPr>
              <w:jc w:val="left"/>
            </w:pPr>
            <w:r>
              <w:rPr>
                <w:color w:val="1E293B"/>
                <w:sz w:val="17"/>
              </w:rPr>
              <w:t>Value Frontier</w:t>
            </w:r>
          </w:p>
        </w:tc>
        <w:tc>
          <w:tcPr>
            <w:tcW w:type="dxa" w:w="1872"/>
            <w:shd w:val="clear" w:color="auto" w:fill="FFFFFF"/>
          </w:tcPr>
          <w:p>
            <w:pPr>
              <w:jc w:val="left"/>
            </w:pPr>
            <w:r>
              <w:rPr>
                <w:color w:val="1E293B"/>
                <w:sz w:val="17"/>
              </w:rPr>
              <w:t>True</w:t>
            </w:r>
          </w:p>
        </w:tc>
        <w:tc>
          <w:tcPr>
            <w:tcW w:type="dxa" w:w="1872"/>
            <w:shd w:val="clear" w:color="auto" w:fill="FFFFFF"/>
          </w:tcPr>
          <w:p>
            <w:pPr>
              <w:jc w:val="left"/>
            </w:pPr>
            <w:r>
              <w:rPr>
                <w:color w:val="1E293B"/>
                <w:sz w:val="17"/>
              </w:rPr>
              <w:t>pareto_candidates_count == 24</w:t>
            </w:r>
          </w:p>
        </w:tc>
        <w:tc>
          <w:tcPr>
            <w:tcW w:type="dxa" w:w="1872"/>
            <w:shd w:val="clear" w:color="auto" w:fill="FFFFFF"/>
          </w:tcPr>
          <w:p>
            <w:pPr>
              <w:jc w:val="left"/>
            </w:pPr>
            <w:r>
              <w:rPr>
                <w:color w:val="1E293B"/>
                <w:sz w:val="17"/>
              </w:rPr>
              <w:t>PASSED: Verified against dataset outputs</w:t>
            </w:r>
          </w:p>
        </w:tc>
      </w:tr>
    </w:tbl>
    <w:p>
      <w:pPr>
        <w:spacing w:after="120"/>
      </w:pPr>
    </w:p>
    <w:p>
      <w:pPr>
        <w:pStyle w:val="Heading1"/>
        <w:keepNext/>
        <w:spacing w:before="240" w:after="80"/>
      </w:pPr>
      <w:r>
        <w:rPr>
          <w:b/>
          <w:color w:val="1E3A8A"/>
          <w:sz w:val="32"/>
        </w:rPr>
        <w:t>20. Key Findings Synthesis</w:t>
      </w:r>
    </w:p>
    <w:p>
      <w:r>
        <w:t>1. Pricing Baseline: Median price is ₹18,999; mean price is ₹29,424 (skewness +3.04). Over 70% of models retail below ₹25,000.</w:t>
        <w:br/>
        <w:t>2. 5G Universal Standard: 5G adoption is 86.68% overall across the catalog, 96.0% in Lower-Mid, and 100% in all models above ₹20,000.</w:t>
        <w:br/>
        <w:t>3. NFC Stratification: Restricted to 20.9% in Lower-Mid, but leaps to 80.8% in Upper-Mid and 100% in Flagships.</w:t>
        <w:br/>
        <w:t>4. Primary Pricing Associations: CPU clock speed (r = 0.784) and storage (r = 0.754) exhibit the strongest direct statistical associations with price, with the regression model explaining 89.24% of log-price variance.</w:t>
        <w:br/>
        <w:t>5. Catalog Silicon Representation: MediaTek appears in 51.2% of the smartphone models represented in the analyzed catalog; Snapdragon anchors the ₹25k+ performance tier.</w:t>
        <w:br/>
        <w:t>6. Natural Market Tiers: K-Means identifies 3 distinct clusters: Entry-Level Budget Tier, Mainstream Performance Tier, and Ultra-Premium Flagship Tier.</w:t>
        <w:br/>
        <w:t>7. Value Efficiency: 24 value-frontier candidate models establish the non-dominated Pareto efficiency frontier.</w:t>
        <w:br/>
        <w:t>8. Lower-Mid Crowding: 277 models (36.5% of market) crowd into ₹10k–₹20k, creating intense spec commoditization.</w:t>
        <w:br/>
        <w:t>9. Fast Charging Parity: 98.4% of phones advertise fast charging, but speeds vary widely (10W to 125W, median 44W).</w:t>
        <w:br/>
        <w:t>10. Ecosystem Factor: iOS commands a substantial isolated model coefficient (+0.218 std coef) in the regression specification.</w:t>
      </w:r>
    </w:p>
    <w:p>
      <w:pPr>
        <w:pStyle w:val="Heading1"/>
        <w:keepNext/>
        <w:spacing w:before="240" w:after="80"/>
      </w:pPr>
      <w:r>
        <w:rPr>
          <w:b/>
          <w:color w:val="1E3A8A"/>
          <w:sz w:val="32"/>
        </w:rPr>
        <w:t>21. Potential Actions (Action Framework)</w:t>
      </w:r>
    </w:p>
    <w:p>
      <w:r>
        <w:t>Recommendations are structured as potential actions and evaluation areas traceable directly to empirical evidence:</w:t>
        <w:br/>
        <w:t>• Finding: 5G is 96.0% in Lower-Mid and 100% above ₹20k $\rightarrow$ Potential Action: Evaluate 5G as a baseline specification for products above ₹12,000, given the observed 5G representation in the analyzed catalog.</w:t>
        <w:br/>
        <w:t>• Finding: NFC is only 20.9% in Lower-Mid $\rightarrow$ Potential Action: Evaluate selective NFC inclusion in the ₹12,000–₹16,000 corridor for urban contactless utility based on observed whitespace.</w:t>
        <w:br/>
        <w:t>• Finding: 277 models crowd the Lower-Mid tier $\rightarrow$ Potential Action: Evaluate portfolio differentiation and SKU rationalization in the crowded ₹10,000–₹20,000 corridor to mitigate catalog cannibalization.</w:t>
        <w:br/>
        <w:t>• Finding: Storage has std coef +0.244 $\rightarrow$ Potential Action: Consider structured storage upgrade pricing intervals of ₹2,000 to ₹3,500 based on econometric storage coefficients.</w:t>
        <w:br/>
        <w:t>• Finding: Charging speeds diverge widely $\rightarrow$ Potential Action: Evaluate a 45W charging baseline for products above ₹18,000 based on observed charging characteristics in the analyzed catalog.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Pr>
                <w:b/>
                <w:color w:val="FFFFFF"/>
                <w:sz w:val="18"/>
              </w:rPr>
              <w:t>finding</w:t>
            </w:r>
          </w:p>
        </w:tc>
        <w:tc>
          <w:tcPr>
            <w:tcW w:type="dxa" w:w="2340"/>
            <w:shd w:val="clear" w:color="auto" w:fill="1E3A8A"/>
          </w:tcPr>
          <w:p>
            <w:pPr>
              <w:jc w:val="center"/>
            </w:pPr>
            <w:r>
              <w:rPr>
                <w:b/>
                <w:color w:val="FFFFFF"/>
                <w:sz w:val="18"/>
              </w:rPr>
              <w:t>evidence</w:t>
            </w:r>
          </w:p>
        </w:tc>
        <w:tc>
          <w:tcPr>
            <w:tcW w:type="dxa" w:w="2340"/>
            <w:shd w:val="clear" w:color="auto" w:fill="1E3A8A"/>
          </w:tcPr>
          <w:p>
            <w:pPr>
              <w:jc w:val="center"/>
            </w:pPr>
            <w:r>
              <w:rPr>
                <w:b/>
                <w:color w:val="FFFFFF"/>
                <w:sz w:val="18"/>
              </w:rPr>
              <w:t>implication</w:t>
            </w:r>
          </w:p>
        </w:tc>
        <w:tc>
          <w:tcPr>
            <w:tcW w:type="dxa" w:w="2340"/>
            <w:shd w:val="clear" w:color="auto" w:fill="1E3A8A"/>
          </w:tcPr>
          <w:p>
            <w:pPr>
              <w:jc w:val="center"/>
            </w:pPr>
            <w:r>
              <w:rPr>
                <w:b/>
                <w:color w:val="FFFFFF"/>
                <w:sz w:val="18"/>
              </w:rPr>
              <w:t>potential_action</w:t>
            </w:r>
          </w:p>
        </w:tc>
      </w:tr>
      <w:tr>
        <w:tc>
          <w:tcPr>
            <w:tcW w:type="dxa" w:w="2340"/>
            <w:shd w:val="clear" w:color="auto" w:fill="FFFFFF"/>
          </w:tcPr>
          <w:p>
            <w:pPr>
              <w:jc w:val="left"/>
            </w:pPr>
            <w:r>
              <w:rPr>
                <w:color w:val="1E293B"/>
                <w:sz w:val="17"/>
              </w:rPr>
              <w:t>5G is widely represented in the Lower-Mid tier (96.0%) and universal above ₹20,000.</w:t>
            </w:r>
          </w:p>
        </w:tc>
        <w:tc>
          <w:tcPr>
            <w:tcW w:type="dxa" w:w="2340"/>
            <w:shd w:val="clear" w:color="auto" w:fill="FFFFFF"/>
          </w:tcPr>
          <w:p>
            <w:pPr>
              <w:jc w:val="left"/>
            </w:pPr>
            <w:r>
              <w:rPr>
                <w:color w:val="1E293B"/>
                <w:sz w:val="17"/>
              </w:rPr>
              <w:t>96.0% of Lower-Mid (10k-20k) and 100% of Mid-Range (20k-35k) models feature 5G, with 11 models between ₹10k–₹14,850 lacking 5G.</w:t>
            </w:r>
          </w:p>
        </w:tc>
        <w:tc>
          <w:tcPr>
            <w:tcW w:type="dxa" w:w="2340"/>
            <w:shd w:val="clear" w:color="auto" w:fill="FFFFFF"/>
          </w:tcPr>
          <w:p>
            <w:pPr>
              <w:jc w:val="left"/>
            </w:pPr>
            <w:r>
              <w:rPr>
                <w:color w:val="1E293B"/>
                <w:sz w:val="17"/>
              </w:rPr>
              <w:t>Models above ₹12,000 without 5G exhibit an acute specification gap relative to catalog peers.</w:t>
            </w:r>
          </w:p>
        </w:tc>
        <w:tc>
          <w:tcPr>
            <w:tcW w:type="dxa" w:w="2340"/>
            <w:shd w:val="clear" w:color="auto" w:fill="FFFFFF"/>
          </w:tcPr>
          <w:p>
            <w:pPr>
              <w:jc w:val="left"/>
            </w:pPr>
            <w:r>
              <w:rPr>
                <w:color w:val="1E293B"/>
                <w:sz w:val="17"/>
              </w:rPr>
              <w:t>Evaluate 5G as a baseline specification for products above ₹12,000, given the observed 5G representation in the analyzed catalog.</w:t>
            </w:r>
          </w:p>
        </w:tc>
      </w:tr>
      <w:tr>
        <w:tc>
          <w:tcPr>
            <w:tcW w:type="dxa" w:w="2340"/>
            <w:shd w:val="clear" w:color="auto" w:fill="F8FAFC"/>
          </w:tcPr>
          <w:p>
            <w:pPr>
              <w:jc w:val="left"/>
            </w:pPr>
            <w:r>
              <w:rPr>
                <w:color w:val="1E293B"/>
                <w:sz w:val="17"/>
              </w:rPr>
              <w:t>NFC is predominantly restricted to upper price tiers.</w:t>
            </w:r>
          </w:p>
        </w:tc>
        <w:tc>
          <w:tcPr>
            <w:tcW w:type="dxa" w:w="2340"/>
            <w:shd w:val="clear" w:color="auto" w:fill="F8FAFC"/>
          </w:tcPr>
          <w:p>
            <w:pPr>
              <w:jc w:val="left"/>
            </w:pPr>
            <w:r>
              <w:rPr>
                <w:color w:val="1E293B"/>
                <w:sz w:val="17"/>
              </w:rPr>
              <w:t>NFC penetration is 5.3% in Budget (&lt;10k) and 20.9% in Lower-Mid (10k-20k), but reaches 80.8% in Upper-Mid and 100% in Flagship.</w:t>
            </w:r>
          </w:p>
        </w:tc>
        <w:tc>
          <w:tcPr>
            <w:tcW w:type="dxa" w:w="2340"/>
            <w:shd w:val="clear" w:color="auto" w:fill="F8FAFC"/>
          </w:tcPr>
          <w:p>
            <w:pPr>
              <w:jc w:val="left"/>
            </w:pPr>
            <w:r>
              <w:rPr>
                <w:color w:val="1E293B"/>
                <w:sz w:val="17"/>
              </w:rPr>
              <w:t>NFC appears to serve as a catalog tier gatekeeper rather than a hardware impossibility.</w:t>
            </w:r>
          </w:p>
        </w:tc>
        <w:tc>
          <w:tcPr>
            <w:tcW w:type="dxa" w:w="2340"/>
            <w:shd w:val="clear" w:color="auto" w:fill="F8FAFC"/>
          </w:tcPr>
          <w:p>
            <w:pPr>
              <w:jc w:val="left"/>
            </w:pPr>
            <w:r>
              <w:rPr>
                <w:color w:val="1E293B"/>
                <w:sz w:val="17"/>
              </w:rPr>
              <w:t>Consider evaluating NFC in select ₹12,000–₹16,000 models to address digital transit and tap-to-pay adoption in urban segments.</w:t>
            </w:r>
          </w:p>
        </w:tc>
      </w:tr>
      <w:tr>
        <w:tc>
          <w:tcPr>
            <w:tcW w:type="dxa" w:w="2340"/>
            <w:shd w:val="clear" w:color="auto" w:fill="FFFFFF"/>
          </w:tcPr>
          <w:p>
            <w:pPr>
              <w:jc w:val="left"/>
            </w:pPr>
            <w:r>
              <w:rPr>
                <w:color w:val="1E293B"/>
                <w:sz w:val="17"/>
              </w:rPr>
              <w:t>Catalog concentration exists in the Lower-Mid (₹10,000–₹20,000) corridor.</w:t>
            </w:r>
          </w:p>
        </w:tc>
        <w:tc>
          <w:tcPr>
            <w:tcW w:type="dxa" w:w="2340"/>
            <w:shd w:val="clear" w:color="auto" w:fill="FFFFFF"/>
          </w:tcPr>
          <w:p>
            <w:pPr>
              <w:jc w:val="left"/>
            </w:pPr>
            <w:r>
              <w:rPr>
                <w:color w:val="1E293B"/>
                <w:sz w:val="17"/>
              </w:rPr>
              <w:t>277 models (36.5% of catalog) reside here, with 117 models relying on the exact same MediaTek Dimensity 6300 chipset.</w:t>
            </w:r>
          </w:p>
        </w:tc>
        <w:tc>
          <w:tcPr>
            <w:tcW w:type="dxa" w:w="2340"/>
            <w:shd w:val="clear" w:color="auto" w:fill="FFFFFF"/>
          </w:tcPr>
          <w:p>
            <w:pPr>
              <w:jc w:val="left"/>
            </w:pPr>
            <w:r>
              <w:rPr>
                <w:color w:val="1E293B"/>
                <w:sz w:val="17"/>
              </w:rPr>
              <w:t>Intense internal and cross-brand spec overlap occurs with near-identical silicon configurations.</w:t>
            </w:r>
          </w:p>
        </w:tc>
        <w:tc>
          <w:tcPr>
            <w:tcW w:type="dxa" w:w="2340"/>
            <w:shd w:val="clear" w:color="auto" w:fill="FFFFFF"/>
          </w:tcPr>
          <w:p>
            <w:pPr>
              <w:jc w:val="left"/>
            </w:pPr>
            <w:r>
              <w:rPr>
                <w:color w:val="1E293B"/>
                <w:sz w:val="17"/>
              </w:rPr>
              <w:t>Evaluate pruning redundant sub-variants in the Lower-Mid tier to reduce catalog clutter and emphasize distinct hardware differentiators.</w:t>
            </w:r>
          </w:p>
        </w:tc>
      </w:tr>
      <w:tr>
        <w:tc>
          <w:tcPr>
            <w:tcW w:type="dxa" w:w="2340"/>
            <w:shd w:val="clear" w:color="auto" w:fill="F8FAFC"/>
          </w:tcPr>
          <w:p>
            <w:pPr>
              <w:jc w:val="left"/>
            </w:pPr>
            <w:r>
              <w:rPr>
                <w:color w:val="1E293B"/>
                <w:sz w:val="17"/>
              </w:rPr>
              <w:t>Clock speed and internal storage have the strongest statistical associations with price.</w:t>
            </w:r>
          </w:p>
        </w:tc>
        <w:tc>
          <w:tcPr>
            <w:tcW w:type="dxa" w:w="2340"/>
            <w:shd w:val="clear" w:color="auto" w:fill="F8FAFC"/>
          </w:tcPr>
          <w:p>
            <w:pPr>
              <w:jc w:val="left"/>
            </w:pPr>
            <w:r>
              <w:rPr>
                <w:color w:val="1E293B"/>
                <w:sz w:val="17"/>
              </w:rPr>
              <w:t>Clock speed (r=0.784) and storage (r=0.754) have the largest positive standardized regression coefficients within the model.</w:t>
            </w:r>
          </w:p>
        </w:tc>
        <w:tc>
          <w:tcPr>
            <w:tcW w:type="dxa" w:w="2340"/>
            <w:shd w:val="clear" w:color="auto" w:fill="F8FAFC"/>
          </w:tcPr>
          <w:p>
            <w:pPr>
              <w:jc w:val="left"/>
            </w:pPr>
            <w:r>
              <w:rPr>
                <w:color w:val="1E293B"/>
                <w:sz w:val="17"/>
              </w:rPr>
              <w:t>Catalog pricing ladders are closely structured around memory steps and peak CPU frequencies.</w:t>
            </w:r>
          </w:p>
        </w:tc>
        <w:tc>
          <w:tcPr>
            <w:tcW w:type="dxa" w:w="2340"/>
            <w:shd w:val="clear" w:color="auto" w:fill="F8FAFC"/>
          </w:tcPr>
          <w:p>
            <w:pPr>
              <w:jc w:val="left"/>
            </w:pPr>
            <w:r>
              <w:rPr>
                <w:color w:val="1E293B"/>
                <w:sz w:val="17"/>
              </w:rPr>
              <w:t>Consider structured memory-tier stepping intervals of ₹2,000 to ₹3,500 for storage capacity tiers based on observed pricing steps.</w:t>
            </w:r>
          </w:p>
        </w:tc>
      </w:tr>
      <w:tr>
        <w:tc>
          <w:tcPr>
            <w:tcW w:type="dxa" w:w="2340"/>
            <w:shd w:val="clear" w:color="auto" w:fill="FFFFFF"/>
          </w:tcPr>
          <w:p>
            <w:pPr>
              <w:jc w:val="left"/>
            </w:pPr>
            <w:r>
              <w:rPr>
                <w:color w:val="1E293B"/>
                <w:sz w:val="17"/>
              </w:rPr>
              <w:t>Fast charging is widely present (98.4%), but charging speeds diverge substantially.</w:t>
            </w:r>
          </w:p>
        </w:tc>
        <w:tc>
          <w:tcPr>
            <w:tcW w:type="dxa" w:w="2340"/>
            <w:shd w:val="clear" w:color="auto" w:fill="FFFFFF"/>
          </w:tcPr>
          <w:p>
            <w:pPr>
              <w:jc w:val="left"/>
            </w:pPr>
            <w:r>
              <w:rPr>
                <w:color w:val="1E293B"/>
                <w:sz w:val="17"/>
              </w:rPr>
              <w:t>While 98.4% of phones advertise fast charging, wattages range from 10W in budget models to 125W in performance models (median 44W).</w:t>
            </w:r>
          </w:p>
        </w:tc>
        <w:tc>
          <w:tcPr>
            <w:tcW w:type="dxa" w:w="2340"/>
            <w:shd w:val="clear" w:color="auto" w:fill="FFFFFF"/>
          </w:tcPr>
          <w:p>
            <w:pPr>
              <w:jc w:val="left"/>
            </w:pPr>
            <w:r>
              <w:rPr>
                <w:color w:val="1E293B"/>
                <w:sz w:val="17"/>
              </w:rPr>
              <w:t>The marketing term 'fast charging' encompasses widely varied charging speeds.</w:t>
            </w:r>
          </w:p>
        </w:tc>
        <w:tc>
          <w:tcPr>
            <w:tcW w:type="dxa" w:w="2340"/>
            <w:shd w:val="clear" w:color="auto" w:fill="FFFFFF"/>
          </w:tcPr>
          <w:p>
            <w:pPr>
              <w:jc w:val="left"/>
            </w:pPr>
            <w:r>
              <w:rPr>
                <w:color w:val="1E293B"/>
                <w:sz w:val="17"/>
              </w:rPr>
              <w:t>Evaluate a 45W charging baseline for products above ₹18,000 based on observed charging characteristics in the analyzed catalog.</w:t>
            </w:r>
          </w:p>
        </w:tc>
      </w:tr>
    </w:tbl>
    <w:p>
      <w:pPr>
        <w:spacing w:after="120"/>
      </w:pPr>
    </w:p>
    <w:p>
      <w:pPr>
        <w:pStyle w:val="Heading1"/>
        <w:keepNext/>
        <w:spacing w:before="240" w:after="80"/>
      </w:pPr>
      <w:r>
        <w:rPr>
          <w:b/>
          <w:color w:val="1E3A8A"/>
          <w:sz w:val="32"/>
        </w:rPr>
        <w:t>22. Dataset Limitations &amp; Methodological Constraints</w:t>
      </w:r>
    </w:p>
    <w:p>
      <w:r>
        <w:t>To preserve academic rigor, the following analytical boundaries are strictly enforced:</w:t>
        <w:br/>
        <w:t>1. Catalog Share != Market Share: SKU counts reflect catalog breadth, not retail sales volumes, shipment numbers, or revenue.</w:t>
        <w:br/>
        <w:t>2. Absence of Consumer Demand: The dataset lacks sales velocity or purchase figures; demand cannot be directly inferred.</w:t>
        <w:br/>
        <w:t>3. Correlation != Causation: Econometric coefficients reflect market pricing structures, not manufacturing component costs.</w:t>
        <w:br/>
        <w:t>4. Technical Benchmark Rating: rating_score is an algorithmic hardware specification benchmark, not consumer satisfaction ratings.</w:t>
        <w:br/>
        <w:t>5. Cross-Sectional Snapshot: Captures a single cross-sectional market snapshot in INR without historical time-series depreciation.</w:t>
      </w:r>
    </w:p>
    <w:p>
      <w:pPr>
        <w:pStyle w:val="Heading1"/>
        <w:keepNext/>
        <w:spacing w:before="240" w:after="80"/>
      </w:pPr>
      <w:r>
        <w:rPr>
          <w:b/>
          <w:color w:val="1E3A8A"/>
          <w:sz w:val="32"/>
        </w:rPr>
        <w:t>23. Conclusion</w:t>
      </w:r>
    </w:p>
    <w:p>
      <w:r>
        <w:t>The Smartphone Market Intelligence &amp; Pricing Analytics project establishes a fully verified, reproducible data analytics engine. Through data profiling, data cleaning, verified KPI calculation, hedonic regression modeling, unsupervised clustering, and Pareto frontier mapping, the study successfully uncovers the underlying structural mechanics of smartphone pricing in India. By enforcing strict terminology guardrails and an AI output validation layer, the project provides an academically rigorous blueprint for product planning and market intelligence.</w:t>
      </w:r>
    </w:p>
    <w:p>
      <w:pPr>
        <w:pStyle w:val="Heading1"/>
        <w:keepNext/>
        <w:spacing w:before="240" w:after="80"/>
      </w:pPr>
      <w:r>
        <w:rPr>
          <w:b/>
          <w:color w:val="1E3A8A"/>
          <w:sz w:val="32"/>
        </w:rPr>
        <w:t>24. References</w:t>
      </w:r>
    </w:p>
    <w:p>
      <w:r>
        <w:t>1. IBM SkillsBuild Academic Internship Training Curriculum: Data Analytics with AI.</w:t>
        <w:br/>
        <w:t>2. Rosen, S. (1974). 'Hedonic Prices and Implicit Markets: Product Differentiation in Pure Competition.' Journal of Political Economy, 82(1), 34-55.</w:t>
        <w:br/>
        <w:t>3. Hastie, T., Tibshirani, R., &amp; Friedman, J. (2009). The Elements of Statistical Learning: Data Mining, Inference, and Prediction. Springer.</w:t>
        <w:br/>
        <w:t>4. McKinney, W. (2022). Python for Data Analysis: Data Wrangling with Pandas, NumPy, and Jupyter (3rd ed.). O'Reilly Media.</w:t>
        <w:br/>
        <w:t>5. Pedregosa, F.,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