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i w:val="false"/>
          <w:iCs w:val="false"/>
          <w:color w:val="666666"/>
          <w:sz w:val="22"/>
          <w:szCs w:val="22"/>
        </w:rPr>
        <w:t xml:space="preserve">UNDERGRADUATE FINAL YEAR RESEARCH PROPOSAL</w:t>
      </w:r>
    </w:p>
    <w:p>
      <w:pPr>
        <w:spacing w:before="80" w:after="80"/>
        <w:jc w:val="center"/>
      </w:pPr>
      <w:r>
        <w:rPr>
          <w:rFonts w:ascii="Arial" w:cs="Arial" w:eastAsia="Arial" w:hAnsi="Arial"/>
          <w:b w:val="false"/>
          <w:bCs w:val="false"/>
          <w:i w:val="false"/>
          <w:iCs w:val="false"/>
          <w:color w:val="000000"/>
          <w:sz w:val="20"/>
          <w:szCs w:val="20"/>
        </w:rPr>
        <w:t xml:space="preserve">Department of Information and Communication Technology</w:t>
      </w:r>
    </w:p>
    <w:p>
      <w:pPr>
        <w:spacing w:before="40" w:after="280"/>
        <w:jc w:val="center"/>
      </w:pPr>
      <w:r>
        <w:rPr>
          <w:rFonts w:ascii="Arial" w:cs="Arial" w:eastAsia="Arial" w:hAnsi="Arial"/>
          <w:b w:val="false"/>
          <w:bCs w:val="false"/>
          <w:i w:val="false"/>
          <w:iCs w:val="false"/>
          <w:color w:val="000000"/>
          <w:sz w:val="20"/>
          <w:szCs w:val="20"/>
        </w:rPr>
        <w:t xml:space="preserve">University of Vavuniya</w:t>
      </w:r>
    </w:p>
    <w:p>
      <w:pPr>
        <w:spacing w:before="160" w:after="100"/>
        <w:jc w:val="center"/>
      </w:pPr>
      <w:r>
        <w:rPr>
          <w:rFonts w:ascii="Arial" w:cs="Arial" w:eastAsia="Arial" w:hAnsi="Arial"/>
          <w:b/>
          <w:bCs/>
          <w:i w:val="false"/>
          <w:iCs w:val="false"/>
          <w:color w:val="1F3864"/>
          <w:sz w:val="44"/>
          <w:szCs w:val="44"/>
        </w:rPr>
        <w:t xml:space="preserve">Which Model Leaves the Last Fingerprint?</w:t>
      </w:r>
    </w:p>
    <w:p>
      <w:pPr>
        <w:spacing w:before="40" w:after="280"/>
        <w:jc w:val="center"/>
      </w:pPr>
      <w:r>
        <w:rPr>
          <w:rFonts w:ascii="Arial" w:cs="Arial" w:eastAsia="Arial" w:hAnsi="Arial"/>
          <w:b w:val="false"/>
          <w:bCs w:val="false"/>
          <w:i/>
          <w:iCs/>
          <w:color w:val="2E75B6"/>
          <w:sz w:val="26"/>
          <w:szCs w:val="26"/>
        </w:rPr>
        <w:t xml:space="preserve">Stylometric Attribution Survival Under LLM-Based Rewriting Pressure</w:t>
      </w:r>
    </w:p>
    <w:p>
      <w:pPr>
        <w:spacing w:before="40" w:after="60"/>
        <w:jc w:val="center"/>
      </w:pPr>
      <w:r>
        <w:rPr>
          <w:rFonts w:ascii="Arial" w:cs="Arial" w:eastAsia="Arial" w:hAnsi="Arial"/>
          <w:b w:val="false"/>
          <w:bCs w:val="false"/>
          <w:i w:val="false"/>
          <w:iCs w:val="false"/>
          <w:color w:val="888888"/>
          <w:sz w:val="18"/>
          <w:szCs w:val="18"/>
        </w:rPr>
        <w:t xml:space="preserve">Version 11  |  Pilot Study Validated  |  PCA-Corrected  |  Pilot Calibration Refined  |  February 2026</w:t>
      </w:r>
    </w:p>
    <w:p>
      <w:pPr>
        <w:spacing w:before="40" w:after="40"/>
        <w:jc w:val="center"/>
      </w:pPr>
      <w:r>
        <w:rPr>
          <w:rFonts w:ascii="Arial" w:cs="Arial" w:eastAsia="Arial" w:hAnsi="Arial"/>
          <w:b w:val="false"/>
          <w:bCs w:val="false"/>
          <w:i w:val="false"/>
          <w:iCs w:val="false"/>
          <w:color w:val="000000"/>
          <w:sz w:val="20"/>
          <w:szCs w:val="20"/>
        </w:rPr>
        <w:t xml:space="preserve">Student: R.A.D.A. Ranasinghe  |  Reg. No: 2020/ICT/113</w:t>
      </w:r>
    </w:p>
    <w:p>
      <w:pPr>
        <w:spacing w:before="40" w:after="400"/>
        <w:jc w:val="center"/>
      </w:pPr>
      <w:r>
        <w:rPr>
          <w:rFonts w:ascii="Arial" w:cs="Arial" w:eastAsia="Arial" w:hAnsi="Arial"/>
          <w:b w:val="false"/>
          <w:bCs w:val="false"/>
          <w:i w:val="false"/>
          <w:iCs w:val="false"/>
          <w:color w:val="000000"/>
          <w:sz w:val="20"/>
          <w:szCs w:val="20"/>
        </w:rPr>
        <w:t xml:space="preserve">Supervisor: [Supervisor Name]</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Abstract</w:t>
      </w:r>
    </w:p>
    <w:p>
      <w:pPr>
        <w:spacing w:before="80" w:after="80"/>
        <w:jc w:val="left"/>
      </w:pPr>
      <w:r>
        <w:rPr>
          <w:rFonts w:ascii="Arial" w:cs="Arial" w:eastAsia="Arial" w:hAnsi="Arial"/>
          <w:b w:val="false"/>
          <w:bCs w:val="false"/>
          <w:i w:val="false"/>
          <w:iCs w:val="false"/>
          <w:color w:val="000000"/>
          <w:sz w:val="20"/>
          <w:szCs w:val="20"/>
        </w:rPr>
        <w:t xml:space="preserve">The ability to attribute AI-generated text to a specific large language model (LLM) — inter-model attribution — is an emerging capability in academic integrity and digital forensics. Three critical gaps limit existing work: (1) Grok, one of the four major commercial LLMs, is absent from every existing attribution benchmark; (2) no study has measured whether attribution accuracy survives LLM-based rewriting, the dominant method used by students to disguise AI-generated submissions; and (3) prior work uses outdated T5-based paraphrasers that do not reflect how students actually rewrite text in 2025.</w:t>
      </w:r>
    </w:p>
    <w:p>
      <w:pPr>
        <w:spacing w:before="80" w:after="80"/>
        <w:jc w:val="left"/>
      </w:pPr>
      <w:r>
        <w:rPr>
          <w:rFonts w:ascii="Arial" w:cs="Arial" w:eastAsia="Arial" w:hAnsi="Arial"/>
          <w:b w:val="false"/>
          <w:bCs w:val="false"/>
          <w:i w:val="false"/>
          <w:iCs w:val="false"/>
          <w:color w:val="000000"/>
          <w:sz w:val="20"/>
          <w:szCs w:val="20"/>
        </w:rPr>
        <w:t xml:space="preserve">This study addresses all three gaps through a single undergraduate research project. We collect 3,600 samples across ChatGPT, Claude, Gemini, and Grok (300 per model x 3 edit conditions), rewrite 2,400 samples using Llama 3.3 70B via the Groq API, and train a soft-voting ensemble classifier combining stylometric features and sentence-level semantic embeddings from all-MiniLM-L6-v2. Principal Component Analysis (PCA) reduces the 384-dimensional semantic space to approximately 75 components before concatenation, yielding a final 83-dimensional feature vector that eliminates dimensionality-induced overfitting while preserving attribution signal.</w:t>
      </w:r>
    </w:p>
    <w:p>
      <w:pPr>
        <w:spacing w:before="80" w:after="80"/>
        <w:jc w:val="left"/>
      </w:pPr>
      <w:r>
        <w:rPr>
          <w:rFonts w:ascii="Arial" w:cs="Arial" w:eastAsia="Arial" w:hAnsi="Arial"/>
          <w:b w:val="false"/>
          <w:bCs w:val="false"/>
          <w:i w:val="false"/>
          <w:iCs w:val="false"/>
          <w:color w:val="000000"/>
          <w:sz w:val="20"/>
          <w:szCs w:val="20"/>
        </w:rPr>
        <w:t xml:space="preserve">Out-of-distribution (OOD) attribution accuracy is measured at two rewriting levels (approximately 40% and 65% word-level edit distance). Quality gate thresholds were empirically derived from a one-day pilot study (n=30 samples, 60 rewrites) conducted on 23 February 2026, yielding cosine similarity floors of 0.80 for light rewrites and 0.597 for heavy rewrites. SHAP feature survival analysis identifies which features resist rewriting pressure. This study represents the first inter-model attribution evaluation including Grok, and the first measurement of attribution degradation under LLM-based rewriting.</w:t>
      </w:r>
    </w:p>
    <w:p>
      <w:pPr>
        <w:spacing w:before="80" w:after="80"/>
        <w:jc w:val="left"/>
      </w:pPr>
      <w:r>
        <w:rPr>
          <w:rFonts w:ascii="Arial" w:cs="Arial" w:eastAsia="Arial" w:hAnsi="Arial"/>
          <w:b w:val="false"/>
          <w:bCs w:val="false"/>
          <w:i w:val="false"/>
          <w:iCs w:val="false"/>
          <w:color w:val="000000"/>
          <w:sz w:val="20"/>
          <w:szCs w:val="20"/>
        </w:rPr>
        <w:t xml:space="preserve">The pilot study thresholds were derived using Llama-generated source texts as a practical first-pass approximation. A calibration refinement using actual target model outputs (ChatGPT, Claude, Gemini, Grok) rewritten by Llama 3.3 70B is planned as the first task of Month 1, before any production rewriting begins. This sequencing ensures thresholds are calibrated to the correct baseline distribution before the quality gate is applied at scale.</w:t>
      </w:r>
    </w:p>
    <w:p>
      <w:pPr>
        <w:spacing w:before="80" w:after="80"/>
        <w:jc w:val="left"/>
      </w:pPr>
      <w:r>
        <w:rPr>
          <w:rFonts w:ascii="Arial" w:cs="Arial" w:eastAsia="Arial" w:hAnsi="Arial"/>
          <w:b w:val="false"/>
          <w:bCs w:val="false"/>
          <w:i/>
          <w:iCs/>
          <w:color w:val="000000"/>
          <w:sz w:val="20"/>
          <w:szCs w:val="20"/>
        </w:rPr>
        <w:t xml:space="preserve">Keywords: inter-model attribution, stylometric analysis, LLM fingerprinting, rewriting robustness, academic integrity, Grok, SentenceTransformer, PCA, SHAP, OOD evaluation.</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1. Introduction</w:t>
      </w:r>
    </w:p>
    <w:p>
      <w:pPr>
        <w:pStyle w:val="Heading2"/>
        <w:spacing w:before="200" w:after="100"/>
      </w:pPr>
      <w:r>
        <w:rPr>
          <w:rFonts w:ascii="Arial" w:cs="Arial" w:eastAsia="Arial" w:hAnsi="Arial"/>
          <w:b/>
          <w:bCs/>
          <w:color w:val="2E75B6"/>
          <w:sz w:val="26"/>
          <w:szCs w:val="26"/>
        </w:rPr>
        <w:t xml:space="preserve">1.1 Background and Motivation</w:t>
      </w:r>
    </w:p>
    <w:p>
      <w:pPr>
        <w:spacing w:before="80" w:after="80"/>
        <w:jc w:val="left"/>
      </w:pPr>
      <w:r>
        <w:rPr>
          <w:rFonts w:ascii="Arial" w:cs="Arial" w:eastAsia="Arial" w:hAnsi="Arial"/>
          <w:b w:val="false"/>
          <w:bCs w:val="false"/>
          <w:i w:val="false"/>
          <w:iCs w:val="false"/>
          <w:color w:val="000000"/>
          <w:sz w:val="20"/>
          <w:szCs w:val="20"/>
        </w:rPr>
        <w:t xml:space="preserve">The rapid proliferation of large language models (LLMs) has fundamentally changed the landscape of academic integrity. By early 2026, four major commercial LLM systems — ChatGPT (OpenAI), Claude (Anthropic), Gemini (Google), and Grok (xAI) — are accessible to students worldwide, enabling the generation of entire academic documents at negligible cost. Detection tools have responded by attempting to classify text as either AI-generated or human-written. However, this binary framing misses a more forensically useful question: which specific model generated the text?</w:t>
      </w:r>
    </w:p>
    <w:p>
      <w:pPr>
        <w:spacing w:before="80" w:after="80"/>
        <w:jc w:val="left"/>
      </w:pPr>
      <w:r>
        <w:rPr>
          <w:rFonts w:ascii="Arial" w:cs="Arial" w:eastAsia="Arial" w:hAnsi="Arial"/>
          <w:b w:val="false"/>
          <w:bCs w:val="false"/>
          <w:i w:val="false"/>
          <w:iCs w:val="false"/>
          <w:color w:val="000000"/>
          <w:sz w:val="20"/>
          <w:szCs w:val="20"/>
        </w:rPr>
        <w:t xml:space="preserve">Inter-model attribution is the multi-class task of identifying the LLM source among a set of known models. Unlike binary detection, attribution provides actionable institutional intelligence: it can reveal patterns of model preference, track evolving student strategies over time, and contribute to evidence chains in academic misconduct cases. It also presents a harder technical problem, since the stylistic differences between LLMs are far subtler than the differences between LLMs and human writers.</w:t>
      </w:r>
    </w:p>
    <w:p>
      <w:pPr>
        <w:spacing w:before="80" w:after="80"/>
        <w:jc w:val="left"/>
      </w:pPr>
      <w:r>
        <w:rPr>
          <w:rFonts w:ascii="Arial" w:cs="Arial" w:eastAsia="Arial" w:hAnsi="Arial"/>
          <w:b w:val="false"/>
          <w:bCs w:val="false"/>
          <w:i w:val="false"/>
          <w:iCs w:val="false"/>
          <w:color w:val="000000"/>
          <w:sz w:val="20"/>
          <w:szCs w:val="20"/>
        </w:rPr>
        <w:t xml:space="preserve">A second and more pressing problem compounds this challenge. Students in 2025 do not merely submit raw LLM output. They increasingly apply a second pass of processing — using instruction-following LLMs as rewriters — before submission. This LLM-based rewriting pressure potentially erases or distorts the stylometric fingerprints that attribution classifiers depend upon. The degree to which attribution survives this rewriting pressure has never been systematically measured.</w:t>
      </w:r>
    </w:p>
    <w:p>
      <w:pPr>
        <w:pStyle w:val="Heading2"/>
        <w:spacing w:before="200" w:after="100"/>
      </w:pPr>
      <w:r>
        <w:rPr>
          <w:rFonts w:ascii="Arial" w:cs="Arial" w:eastAsia="Arial" w:hAnsi="Arial"/>
          <w:b/>
          <w:bCs/>
          <w:color w:val="2E75B6"/>
          <w:sz w:val="26"/>
          <w:szCs w:val="26"/>
        </w:rPr>
        <w:t xml:space="preserve">1.2 The Grok Problem</w:t>
      </w:r>
    </w:p>
    <w:p>
      <w:pPr>
        <w:spacing w:before="80" w:after="80"/>
        <w:jc w:val="left"/>
      </w:pPr>
      <w:r>
        <w:rPr>
          <w:rFonts w:ascii="Arial" w:cs="Arial" w:eastAsia="Arial" w:hAnsi="Arial"/>
          <w:b w:val="false"/>
          <w:bCs w:val="false"/>
          <w:i w:val="false"/>
          <w:iCs w:val="false"/>
          <w:color w:val="000000"/>
          <w:sz w:val="20"/>
          <w:szCs w:val="20"/>
        </w:rPr>
        <w:t xml:space="preserve">A specific and underappreciated gap compounds the above: Grok, the LLM released by Elon Musk's xAI company, is entirely absent from every major attribution benchmark — RAID (Chen et al., 2024), M4 (Wang et al., 2024), DAIGT, and all others. The one study that tested Grok as an unseen model (Ye et al., 2025) found 100% non-agreement, meaning that classifiers trained on the other three models completely fail when encountering Grok output. Any attribution system that does not include Grok is incomplete for the 2025 threat landscape.</w:t>
      </w:r>
    </w:p>
    <w:p>
      <w:pPr>
        <w:pStyle w:val="Heading2"/>
        <w:spacing w:before="200" w:after="100"/>
      </w:pPr>
      <w:r>
        <w:rPr>
          <w:rFonts w:ascii="Arial" w:cs="Arial" w:eastAsia="Arial" w:hAnsi="Arial"/>
          <w:b/>
          <w:bCs/>
          <w:color w:val="2E75B6"/>
          <w:sz w:val="26"/>
          <w:szCs w:val="26"/>
        </w:rPr>
        <w:t xml:space="preserve">1.3 Scope Statement</w:t>
      </w:r>
    </w:p>
    <w:p>
      <w:pPr>
        <w:spacing w:before="80" w:after="80"/>
        <w:jc w:val="left"/>
      </w:pPr>
      <w:r>
        <w:rPr>
          <w:rFonts w:ascii="Arial" w:cs="Arial" w:eastAsia="Arial" w:hAnsi="Arial"/>
          <w:b w:val="false"/>
          <w:bCs w:val="false"/>
          <w:i w:val="false"/>
          <w:iCs w:val="false"/>
          <w:color w:val="000000"/>
          <w:sz w:val="20"/>
          <w:szCs w:val="20"/>
        </w:rPr>
        <w:t xml:space="preserve">This study explicitly tests LLM-based rewriting pressure as defined by instruction-following LLM rewriters (Llama 3.3 70B). It does not test commercial AI humanisation tools such as StealthWriter or Undetectable.ai, which employ additional statistical manipulation techniques including perplexity injection and burstiness modification. The distinction is intentional, clearly stated, and does not weaken the study — it defines a precise, reproducible, and practically relevant scope. The effect of commercial humanisers on inter-model attribution is proposed as a natural extension of this work.</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2. Literature Review</w:t>
      </w:r>
    </w:p>
    <w:p>
      <w:pPr>
        <w:pStyle w:val="Heading2"/>
        <w:spacing w:before="200" w:after="100"/>
      </w:pPr>
      <w:r>
        <w:rPr>
          <w:rFonts w:ascii="Arial" w:cs="Arial" w:eastAsia="Arial" w:hAnsi="Arial"/>
          <w:b/>
          <w:bCs/>
          <w:color w:val="2E75B6"/>
          <w:sz w:val="26"/>
          <w:szCs w:val="26"/>
        </w:rPr>
        <w:t xml:space="preserve">2.1 AI Text Detection</w:t>
      </w:r>
    </w:p>
    <w:p>
      <w:pPr>
        <w:spacing w:before="80" w:after="80"/>
        <w:jc w:val="left"/>
      </w:pPr>
      <w:r>
        <w:rPr>
          <w:rFonts w:ascii="Arial" w:cs="Arial" w:eastAsia="Arial" w:hAnsi="Arial"/>
          <w:b w:val="false"/>
          <w:bCs w:val="false"/>
          <w:i w:val="false"/>
          <w:iCs w:val="false"/>
          <w:color w:val="000000"/>
          <w:sz w:val="20"/>
          <w:szCs w:val="20"/>
        </w:rPr>
        <w:t xml:space="preserve">The field of AI-generated text detection has grown rapidly since the public release of GPT-3 in 2020. Early approaches relied on perplexity-based scoring (GPTZero; Solaiman et al., 2019), exploiting the tendency of language models to produce lower-perplexity text than human writers. Subsequent work demonstrated that these approaches are brittle: even minor paraphrasing dramatically reduces detector accuracy (Krishna et al., 2023). Neural classifiers based on fine-tuned BERT or RoBERTa architectures offer higher accuracy but suffer from distribution shift when applied to models not seen during training.</w:t>
      </w:r>
    </w:p>
    <w:p>
      <w:pPr>
        <w:spacing w:before="80" w:after="80"/>
        <w:jc w:val="left"/>
      </w:pPr>
      <w:r>
        <w:rPr>
          <w:rFonts w:ascii="Arial" w:cs="Arial" w:eastAsia="Arial" w:hAnsi="Arial"/>
          <w:b w:val="false"/>
          <w:bCs w:val="false"/>
          <w:i w:val="false"/>
          <w:iCs w:val="false"/>
          <w:color w:val="000000"/>
          <w:sz w:val="20"/>
          <w:szCs w:val="20"/>
        </w:rPr>
        <w:t xml:space="preserve">The RAID benchmark (Chen et al., 2024) represents the most comprehensive evaluation of detection robustness to date, covering multiple LLMs across multiple domains and adversarial conditions. Critically, RAID includes ChatGPT, Claude, and Gemini but excludes Grok. The M4 dataset (Wang et al., 2024) similarly covers GPT, Claude, LLaMA, and Bloomz but not Grok.</w:t>
      </w:r>
    </w:p>
    <w:p>
      <w:pPr>
        <w:pStyle w:val="Heading2"/>
        <w:spacing w:before="200" w:after="100"/>
      </w:pPr>
      <w:r>
        <w:rPr>
          <w:rFonts w:ascii="Arial" w:cs="Arial" w:eastAsia="Arial" w:hAnsi="Arial"/>
          <w:b/>
          <w:bCs/>
          <w:color w:val="2E75B6"/>
          <w:sz w:val="26"/>
          <w:szCs w:val="26"/>
        </w:rPr>
        <w:t xml:space="preserve">2.2 Inter-Model Attribution</w:t>
      </w:r>
    </w:p>
    <w:p>
      <w:pPr>
        <w:spacing w:before="80" w:after="80"/>
        <w:jc w:val="left"/>
      </w:pPr>
      <w:r>
        <w:rPr>
          <w:rFonts w:ascii="Arial" w:cs="Arial" w:eastAsia="Arial" w:hAnsi="Arial"/>
          <w:b w:val="false"/>
          <w:bCs w:val="false"/>
          <w:i w:val="false"/>
          <w:iCs w:val="false"/>
          <w:color w:val="000000"/>
          <w:sz w:val="20"/>
          <w:szCs w:val="20"/>
        </w:rPr>
        <w:t xml:space="preserve">Inter-model attribution is a more fine-grained task than binary detection. Argasinski et al. (2025) demonstrated that stylometric features can distinguish between LLM-generated texts even in short samples of 100 words, achieving meaningful accuracy across seven LLMs — though their study excluded Grok. Przystalski et al. (2025) applied the StyloMetrix framework to LLM attribution with similar findings. Cao et al. (2025) documented a homogenising effect whereby LLMs trained on similar corpora converge stylistically, making attribution progressively harder as model similarity increases.</w:t>
      </w:r>
    </w:p>
    <w:p>
      <w:pPr>
        <w:spacing w:before="80" w:after="80"/>
        <w:jc w:val="left"/>
      </w:pPr>
      <w:r>
        <w:rPr>
          <w:rFonts w:ascii="Arial" w:cs="Arial" w:eastAsia="Arial" w:hAnsi="Arial"/>
          <w:b w:val="false"/>
          <w:bCs w:val="false"/>
          <w:i w:val="false"/>
          <w:iCs w:val="false"/>
          <w:color w:val="000000"/>
          <w:sz w:val="20"/>
          <w:szCs w:val="20"/>
        </w:rPr>
        <w:t xml:space="preserve">Padhi et al. (2025) studied divergent adoption patterns across LLMs, suggesting that Grok occupies a distinct usage context (shorter, more conversational prompts) that may produce a distinctive stylometric signature separable from the academic-register outputs of ChatGPT and Claude.</w:t>
      </w:r>
    </w:p>
    <w:p>
      <w:pPr>
        <w:pStyle w:val="Heading2"/>
        <w:spacing w:before="200" w:after="100"/>
      </w:pPr>
      <w:r>
        <w:rPr>
          <w:rFonts w:ascii="Arial" w:cs="Arial" w:eastAsia="Arial" w:hAnsi="Arial"/>
          <w:b/>
          <w:bCs/>
          <w:color w:val="2E75B6"/>
          <w:sz w:val="26"/>
          <w:szCs w:val="26"/>
        </w:rPr>
        <w:t xml:space="preserve">2.3 Rewriting and Attribution Robustness</w:t>
      </w:r>
    </w:p>
    <w:p>
      <w:pPr>
        <w:spacing w:before="80" w:after="80"/>
        <w:jc w:val="left"/>
      </w:pPr>
      <w:r>
        <w:rPr>
          <w:rFonts w:ascii="Arial" w:cs="Arial" w:eastAsia="Arial" w:hAnsi="Arial"/>
          <w:b w:val="false"/>
          <w:bCs w:val="false"/>
          <w:i w:val="false"/>
          <w:iCs w:val="false"/>
          <w:color w:val="000000"/>
          <w:sz w:val="20"/>
          <w:szCs w:val="20"/>
        </w:rPr>
        <w:t xml:space="preserve">Krishna et al. (2023) showed that paraphrasing using retrieval-augmented generation effectively evades detection systems designed for the original model. Zhang et al. (2025) extended this to adversarial paraphrasing, finding that targeted rewriting could reduce detector accuracy by 30-50 percentage points. Crucially, both studies measured detection degradation (AI vs human), not attribution degradation (which AI). No existing study has measured whether inter-model attribution survives rewriting pressure.</w:t>
      </w:r>
    </w:p>
    <w:p>
      <w:pPr>
        <w:spacing w:before="80" w:after="80"/>
        <w:jc w:val="left"/>
      </w:pPr>
      <w:r>
        <w:rPr>
          <w:rFonts w:ascii="Arial" w:cs="Arial" w:eastAsia="Arial" w:hAnsi="Arial"/>
          <w:b w:val="false"/>
          <w:bCs w:val="false"/>
          <w:i w:val="false"/>
          <w:iCs w:val="false"/>
          <w:color w:val="000000"/>
          <w:sz w:val="20"/>
          <w:szCs w:val="20"/>
        </w:rPr>
        <w:t xml:space="preserve">Existing rewriting studies also use outdated tools: T5-based paraphrasers (parrot by prithivida; DIPPER by Krishna et al.) that produce surface-level word substitutions rather than structural variation. By 2025, students predominantly use instruction-following LLMs (ChatGPT, Llama, Mistral) as rewriters, producing far more coherent and structurally varied rewrites. This methodological gap means existing degradation estimates do not apply to the current student threat landscape.</w:t>
      </w:r>
    </w:p>
    <w:p>
      <w:pPr>
        <w:pStyle w:val="Heading2"/>
        <w:spacing w:before="200" w:after="100"/>
      </w:pPr>
      <w:r>
        <w:rPr>
          <w:rFonts w:ascii="Arial" w:cs="Arial" w:eastAsia="Arial" w:hAnsi="Arial"/>
          <w:b/>
          <w:bCs/>
          <w:color w:val="2E75B6"/>
          <w:sz w:val="26"/>
          <w:szCs w:val="26"/>
        </w:rPr>
        <w:t xml:space="preserve">2.4 Semantic Feature Representation in Text Classification</w:t>
      </w:r>
    </w:p>
    <w:p>
      <w:pPr>
        <w:spacing w:before="80" w:after="80"/>
        <w:jc w:val="left"/>
      </w:pPr>
      <w:r>
        <w:rPr>
          <w:rFonts w:ascii="Arial" w:cs="Arial" w:eastAsia="Arial" w:hAnsi="Arial"/>
          <w:b w:val="false"/>
          <w:bCs w:val="false"/>
          <w:i w:val="false"/>
          <w:iCs w:val="false"/>
          <w:color w:val="000000"/>
          <w:sz w:val="20"/>
          <w:szCs w:val="20"/>
        </w:rPr>
        <w:t xml:space="preserve">A critical methodological distinction exists between document-level embeddings produced by models trained for semantic similarity versus generic contextual representations. Reimers and Gurevych (2019) demonstrated that raw [CLS] token representations from unfinetuned BERT-family models are not well-suited for document-level semantic tasks, producing lower clustering quality than models explicitly trained for sentence/paragraph-level embedding. The all-MiniLM-L6-v2 model (Wang et al., 2020) addresses this by training a compact transformer specifically to produce high-quality sentence and document embeddings via contrastive learning on over one billion sentence pairs.</w:t>
      </w:r>
    </w:p>
    <w:p>
      <w:pPr>
        <w:spacing w:before="80" w:after="80"/>
        <w:jc w:val="left"/>
      </w:pPr>
      <w:r>
        <w:rPr>
          <w:rFonts w:ascii="Arial" w:cs="Arial" w:eastAsia="Arial" w:hAnsi="Arial"/>
          <w:b w:val="false"/>
          <w:bCs w:val="false"/>
          <w:i w:val="false"/>
          <w:iCs w:val="false"/>
          <w:color w:val="000000"/>
          <w:sz w:val="20"/>
          <w:szCs w:val="20"/>
        </w:rPr>
        <w:t xml:space="preserve">For stylometric attribution specifically, document-level semantic representations are preferable to token-level representations because they capture distributional patterns in LLM output across the entire sample rather than anchoring to a single [CLS] token not trained for this purpose. This study uses all-MiniLM-L6-v2 for semantic feature extraction throughout the pipeline, including the quality gate and classification feature set, eliminating model redundancy and producing higher-quality semantic features.</w:t>
      </w:r>
    </w:p>
    <w:p>
      <w:pPr>
        <w:pStyle w:val="Heading2"/>
        <w:spacing w:before="200" w:after="100"/>
      </w:pPr>
      <w:r>
        <w:rPr>
          <w:rFonts w:ascii="Arial" w:cs="Arial" w:eastAsia="Arial" w:hAnsi="Arial"/>
          <w:b/>
          <w:bCs/>
          <w:color w:val="2E75B6"/>
          <w:sz w:val="26"/>
          <w:szCs w:val="26"/>
        </w:rPr>
        <w:t xml:space="preserve">2.5 Dimensionality Reduction in High-Dimensional Feature Spaces</w:t>
      </w:r>
    </w:p>
    <w:p>
      <w:pPr>
        <w:spacing w:before="80" w:after="80"/>
        <w:jc w:val="left"/>
      </w:pPr>
      <w:r>
        <w:rPr>
          <w:rFonts w:ascii="Arial" w:cs="Arial" w:eastAsia="Arial" w:hAnsi="Arial"/>
          <w:b w:val="false"/>
          <w:bCs w:val="false"/>
          <w:i w:val="false"/>
          <w:iCs w:val="false"/>
          <w:color w:val="000000"/>
          <w:sz w:val="20"/>
          <w:szCs w:val="20"/>
        </w:rPr>
        <w:t xml:space="preserve">The curse of dimensionality poses a concrete risk to classifiers trained on high-dimensional feature spaces with moderate sample sizes. In a 5-fold cross-validation regime with 1,200 training samples, each fold trains on approximately 960 instances. The relationship between effective sample size and feature dimensionality — commonly expressed as the Bellman ratio — indicates that classifiers operating with fewer than 10 instances per feature dimension are at elevated overfitting risk (Bishop, 2006).</w:t>
      </w:r>
    </w:p>
    <w:p>
      <w:pPr>
        <w:spacing w:before="80" w:after="80"/>
        <w:jc w:val="left"/>
      </w:pPr>
      <w:r>
        <w:rPr>
          <w:rFonts w:ascii="Arial" w:cs="Arial" w:eastAsia="Arial" w:hAnsi="Arial"/>
          <w:b w:val="false"/>
          <w:bCs w:val="false"/>
          <w:i w:val="false"/>
          <w:iCs w:val="false"/>
          <w:color w:val="000000"/>
          <w:sz w:val="20"/>
          <w:szCs w:val="20"/>
        </w:rPr>
        <w:t xml:space="preserve">Principal Component Analysis (PCA) is the standard dimensionality reduction approach for this scenario. Applied to the 384-dimensional all-MiniLM-L6-v2 embedding space before concatenation with stylometric features, PCA retains approximately 95% of variance in approximately 75 components, reducing the effective feature dimensionality from 392 to approximately 83 dimensions. This yields a healthy sample-to-feature ratio of approximately 11.6:1 on the training fold, substantially reducing overfitting risk while preserving attribution-relevant semantic variance.</w:t>
      </w:r>
    </w:p>
    <w:p>
      <w:pPr>
        <w:pStyle w:val="Heading2"/>
        <w:spacing w:before="200" w:after="100"/>
      </w:pPr>
      <w:r>
        <w:rPr>
          <w:rFonts w:ascii="Arial" w:cs="Arial" w:eastAsia="Arial" w:hAnsi="Arial"/>
          <w:b/>
          <w:bCs/>
          <w:color w:val="2E75B6"/>
          <w:sz w:val="26"/>
          <w:szCs w:val="26"/>
        </w:rPr>
        <w:t xml:space="preserve">2.6 Summary of Research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1560"/>
        <w:gridCol w:w="180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Study</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Grok?</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Rewriting?</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Attribution?</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Rewriter Type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Gap Remaining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RAID (Chen et al., 2024)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Grok and rewriting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M4 (Wang et al., 2024)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Grok and rewriting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Argasinski et al. (2025)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6600"/>
                <w:sz w:val="20"/>
                <w:szCs w:val="20"/>
              </w:rPr>
              <w:t xml:space="preserve">Partial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Missing Grok + rewriting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Krishna et al. (2023)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Yes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Detection only</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T5 paraphraser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attribution; outdated rewriter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Zhang et al. (2025)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C0000"/>
                <w:sz w:val="20"/>
                <w:szCs w:val="20"/>
              </w:rPr>
              <w:t xml:space="preserve">No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6600"/>
                <w:sz w:val="20"/>
                <w:szCs w:val="20"/>
              </w:rPr>
              <w:t xml:space="preserve">Yes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Detection only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Adversarial T5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attribution; no Grok</w:t>
            </w:r>
          </w:p>
        </w:tc>
      </w:tr>
      <w:tr>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THIS STUDY</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YES — First</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YES</w:t>
            </w:r>
          </w:p>
        </w:tc>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YES — First</w:t>
            </w:r>
          </w:p>
        </w:tc>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LLM (Llama 3.3)</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All gaps closed</w:t>
            </w:r>
          </w:p>
        </w:tc>
      </w:tr>
    </w:tbl>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3. Research Gaps</w:t>
      </w:r>
    </w:p>
    <w:p>
      <w:pPr>
        <w:spacing w:before="80" w:after="80"/>
        <w:jc w:val="left"/>
      </w:pPr>
      <w:r>
        <w:rPr>
          <w:rFonts w:ascii="Arial" w:cs="Arial" w:eastAsia="Arial" w:hAnsi="Arial"/>
          <w:b w:val="false"/>
          <w:bCs w:val="false"/>
          <w:i w:val="false"/>
          <w:iCs w:val="false"/>
          <w:color w:val="000000"/>
          <w:sz w:val="20"/>
          <w:szCs w:val="20"/>
        </w:rPr>
        <w:t xml:space="preserve">The literature review identifies four specific, interconnected gaps that this study is designed to close simultaneously. Each gap is stated as a falsifiable absence of evidence rather than a conceptual shortcoming.</w:t>
      </w:r>
    </w:p>
    <w:p>
      <w:pPr>
        <w:pStyle w:val="Heading2"/>
        <w:spacing w:before="200" w:after="100"/>
      </w:pPr>
      <w:r>
        <w:rPr>
          <w:rFonts w:ascii="Arial" w:cs="Arial" w:eastAsia="Arial" w:hAnsi="Arial"/>
          <w:b/>
          <w:bCs/>
          <w:color w:val="2E75B6"/>
          <w:sz w:val="26"/>
          <w:szCs w:val="26"/>
        </w:rPr>
        <w:t xml:space="preserve">Gap 1 — Grok Is Absent from All Attribution Benchmarks</w:t>
      </w:r>
    </w:p>
    <w:p>
      <w:pPr>
        <w:spacing w:before="80" w:after="80"/>
        <w:jc w:val="left"/>
      </w:pPr>
      <w:r>
        <w:rPr>
          <w:rFonts w:ascii="Arial" w:cs="Arial" w:eastAsia="Arial" w:hAnsi="Arial"/>
          <w:b w:val="false"/>
          <w:bCs w:val="false"/>
          <w:i w:val="false"/>
          <w:iCs w:val="false"/>
          <w:color w:val="000000"/>
          <w:sz w:val="20"/>
          <w:szCs w:val="20"/>
        </w:rPr>
        <w:t xml:space="preserve">Every major benchmark dataset — RAID, M4, DAIGT, TuringBench — was constructed before or without Grok's commercial availability. Ye et al. (2025) demonstrated that classifiers trained on ChatGPT, Claude, and Gemini achieve 0% accuracy on Grok samples, establishing not just absence but active incompatibility. Any attribution system deployed in 2025 or later that omits Grok will systematically fail when encountering one of the four most-used commercial LLMs. This gap is architectural, not marginal.</w:t>
      </w:r>
    </w:p>
    <w:p>
      <w:pPr>
        <w:pStyle w:val="Heading2"/>
        <w:spacing w:before="200" w:after="100"/>
      </w:pPr>
      <w:r>
        <w:rPr>
          <w:rFonts w:ascii="Arial" w:cs="Arial" w:eastAsia="Arial" w:hAnsi="Arial"/>
          <w:b/>
          <w:bCs/>
          <w:color w:val="2E75B6"/>
          <w:sz w:val="26"/>
          <w:szCs w:val="26"/>
        </w:rPr>
        <w:t xml:space="preserve">Gap 2 — No Study Has Measured Attribution Degradation Under Rewriting</w:t>
      </w:r>
    </w:p>
    <w:p>
      <w:pPr>
        <w:spacing w:before="80" w:after="80"/>
        <w:jc w:val="left"/>
      </w:pPr>
      <w:r>
        <w:rPr>
          <w:rFonts w:ascii="Arial" w:cs="Arial" w:eastAsia="Arial" w:hAnsi="Arial"/>
          <w:b w:val="false"/>
          <w:bCs w:val="false"/>
          <w:i w:val="false"/>
          <w:iCs w:val="false"/>
          <w:color w:val="000000"/>
          <w:sz w:val="20"/>
          <w:szCs w:val="20"/>
        </w:rPr>
        <w:t xml:space="preserve">Krishna et al. (2023) and Zhang et al. (2025) both measure detection degradation — the binary AI-vs-human accuracy loss when text is paraphrased. Neither study measures attribution degradation — the four-class model-identification accuracy loss under the same conditions. This is a harder, finer-grained, and more forensically useful measurement. The complete absence of attribution degradation data means that no evidence-based claim about attribution system robustness can currently be made. This gap directly motivates RQ2.</w:t>
      </w:r>
    </w:p>
    <w:p>
      <w:pPr>
        <w:pStyle w:val="Heading2"/>
        <w:spacing w:before="200" w:after="100"/>
      </w:pPr>
      <w:r>
        <w:rPr>
          <w:rFonts w:ascii="Arial" w:cs="Arial" w:eastAsia="Arial" w:hAnsi="Arial"/>
          <w:b/>
          <w:bCs/>
          <w:color w:val="2E75B6"/>
          <w:sz w:val="26"/>
          <w:szCs w:val="26"/>
        </w:rPr>
        <w:t xml:space="preserve">Gap 3 — Existing Rewriting Studies Use Tools That Do Not Reflect 2025 Student Behaviour</w:t>
      </w:r>
    </w:p>
    <w:p>
      <w:pPr>
        <w:spacing w:before="80" w:after="80"/>
        <w:jc w:val="left"/>
      </w:pPr>
      <w:r>
        <w:rPr>
          <w:rFonts w:ascii="Arial" w:cs="Arial" w:eastAsia="Arial" w:hAnsi="Arial"/>
          <w:b w:val="false"/>
          <w:bCs w:val="false"/>
          <w:i w:val="false"/>
          <w:iCs w:val="false"/>
          <w:color w:val="000000"/>
          <w:sz w:val="20"/>
          <w:szCs w:val="20"/>
        </w:rPr>
        <w:t xml:space="preserve">Every existing rewriting study uses T5-based paraphrasers (parrot, DIPPER) or rule-based spinners. By 2025, the dominant student rewriting tool is an instruction-following LLM — typically accessed through ChatGPT, Claude.ai, or Llama-based free APIs. These tools produce far more structurally varied output than T5 synonym-swappers, operating at the sentence and paragraph level rather than the word level. Degradation estimates based on T5 paraphrasers are not generalisable to the 2025 student threat landscape. This study uses Llama 3.3 70B as the rewriter, directly closing this gap.</w:t>
      </w:r>
    </w:p>
    <w:p>
      <w:pPr>
        <w:pStyle w:val="Heading2"/>
        <w:spacing w:before="200" w:after="100"/>
      </w:pPr>
      <w:r>
        <w:rPr>
          <w:rFonts w:ascii="Arial" w:cs="Arial" w:eastAsia="Arial" w:hAnsi="Arial"/>
          <w:b/>
          <w:bCs/>
          <w:color w:val="2E75B6"/>
          <w:sz w:val="26"/>
          <w:szCs w:val="26"/>
        </w:rPr>
        <w:t xml:space="preserve">Gap 4 — No Study Has Identified Which Attribution Features Survive Rewriting</w:t>
      </w:r>
    </w:p>
    <w:p>
      <w:pPr>
        <w:spacing w:before="80" w:after="80"/>
        <w:jc w:val="left"/>
      </w:pPr>
      <w:r>
        <w:rPr>
          <w:rFonts w:ascii="Arial" w:cs="Arial" w:eastAsia="Arial" w:hAnsi="Arial"/>
          <w:b w:val="false"/>
          <w:bCs w:val="false"/>
          <w:i w:val="false"/>
          <w:iCs w:val="false"/>
          <w:color w:val="000000"/>
          <w:sz w:val="20"/>
          <w:szCs w:val="20"/>
        </w:rPr>
        <w:t xml:space="preserve">Even if attribution accuracy degrades under rewriting, some feature types may retain discriminative power. Knowing which features are edit-resistant versus edit-sensitive provides direct design guidance for future attribution tools — systems should weight edit-resistant features more heavily. No existing attribution study has conducted a systematic SHAP-based feature survival analysis across edit levels. This gap motivates RQ3 and Section 5.10.</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4.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RQ</w:t>
            </w:r>
          </w:p>
        </w:tc>
        <w:tc>
          <w:tcPr>
            <w:tcW w:type="dxa" w:w="8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Question</w:t>
            </w:r>
          </w:p>
        </w:tc>
      </w:tr>
      <w:tr>
        <w:tc>
          <w:tcPr>
            <w:tcW w:type="dxa" w:w="1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RQ1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What is the baseline inter-model attribution accuracy across ChatGPT, Claude, Gemini, and Grok using a combined stylometric and SentenceTransformer semantic feature set (PCA-reduced to approximately 83 dimensions), evaluated through 5-fold stratified cross-validation?</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RQ2</w:t>
            </w:r>
          </w:p>
        </w:tc>
        <w:tc>
          <w:tcPr>
            <w:tcW w:type="dxa" w:w="8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How does LLM-based rewriting pressure affect attribution accuracy at light (~40% word-level edit) and heavy (~65% edit) levels, and at what threshold does attribution fall below chance-level performance (25% for a 4-class problem)?</w:t>
            </w:r>
          </w:p>
        </w:tc>
      </w:tr>
      <w:tr>
        <w:tc>
          <w:tcPr>
            <w:tcW w:type="dxa" w:w="1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RQ3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Which of the 8 stylometric features retain the greatest discriminative power under rewriting pressure (as identified by SHAP TreeExplainer survival analysis), and does overall semantic signal — as measured by aggregate PCA component importance — survive rewriting at comparable levels to stylometric signal?</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RQ4</w:t>
            </w:r>
          </w:p>
        </w:tc>
        <w:tc>
          <w:tcPr>
            <w:tcW w:type="dxa" w:w="8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Does a combined stylometric-semantic feature set outperform either feature type alone, using XGBoost as a constant baseline classifier to cleanly isolate the feature-type effect from classifier architecture effects?</w:t>
            </w:r>
          </w:p>
        </w:tc>
      </w:tr>
    </w:tbl>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5. Novel Contributions</w:t>
      </w:r>
    </w:p>
    <w:p>
      <w:pPr>
        <w:pStyle w:val="ListParagraph"/>
        <w:numPr>
          <w:ilvl w:val="0"/>
          <w:numId w:val="2"/>
        </w:numPr>
        <w:spacing w:before="60" w:after="60"/>
      </w:pPr>
      <w:r>
        <w:rPr>
          <w:rFonts w:ascii="Arial" w:cs="Arial" w:eastAsia="Arial" w:hAnsi="Arial"/>
          <w:sz w:val="20"/>
          <w:szCs w:val="20"/>
        </w:rPr>
        <w:t xml:space="preserve">FIRST — First inter-model attribution benchmark including Grok. Every existing benchmark is incomplete for the 2025 commercial LLM landscape.</w:t>
      </w:r>
    </w:p>
    <w:p>
      <w:pPr>
        <w:pStyle w:val="ListParagraph"/>
        <w:numPr>
          <w:ilvl w:val="0"/>
          <w:numId w:val="2"/>
        </w:numPr>
        <w:spacing w:before="60" w:after="60"/>
      </w:pPr>
      <w:r>
        <w:rPr>
          <w:rFonts w:ascii="Arial" w:cs="Arial" w:eastAsia="Arial" w:hAnsi="Arial"/>
          <w:sz w:val="20"/>
          <w:szCs w:val="20"/>
        </w:rPr>
        <w:t xml:space="preserve">FIRST — First empirical measurement of attribution degradation under LLM-based rewriting. Prior work measures detection degradation only.</w:t>
      </w:r>
    </w:p>
    <w:p>
      <w:pPr>
        <w:pStyle w:val="ListParagraph"/>
        <w:numPr>
          <w:ilvl w:val="0"/>
          <w:numId w:val="2"/>
        </w:numPr>
        <w:spacing w:before="60" w:after="60"/>
      </w:pPr>
      <w:r>
        <w:rPr>
          <w:rFonts w:ascii="Arial" w:cs="Arial" w:eastAsia="Arial" w:hAnsi="Arial"/>
          <w:sz w:val="20"/>
          <w:szCs w:val="20"/>
        </w:rPr>
        <w:t xml:space="preserve">NEW — Empirically derived dual-metric quality gate with pilot study validation (0.80 light, 0.597 heavy cosine floors — human validated).</w:t>
      </w:r>
    </w:p>
    <w:p>
      <w:pPr>
        <w:pStyle w:val="ListParagraph"/>
        <w:numPr>
          <w:ilvl w:val="0"/>
          <w:numId w:val="2"/>
        </w:numPr>
        <w:spacing w:before="60" w:after="60"/>
      </w:pPr>
      <w:r>
        <w:rPr>
          <w:rFonts w:ascii="Arial" w:cs="Arial" w:eastAsia="Arial" w:hAnsi="Arial"/>
          <w:sz w:val="20"/>
          <w:szCs w:val="20"/>
        </w:rPr>
        <w:t xml:space="preserve">NEW — PCA-corrected feature pipeline using all-MiniLM-L6-v2 sentence embeddings, addressing both the semantic representation quality gap and the dimensionality-induced overfitting risk identified in prior methodology versions.</w:t>
      </w:r>
    </w:p>
    <w:p>
      <w:pPr>
        <w:pStyle w:val="ListParagraph"/>
        <w:numPr>
          <w:ilvl w:val="0"/>
          <w:numId w:val="2"/>
        </w:numPr>
        <w:spacing w:before="60" w:after="60"/>
      </w:pPr>
      <w:r>
        <w:rPr>
          <w:rFonts w:ascii="Arial" w:cs="Arial" w:eastAsia="Arial" w:hAnsi="Arial"/>
          <w:sz w:val="20"/>
          <w:szCs w:val="20"/>
        </w:rPr>
        <w:t xml:space="preserve">NEW — SHAP feature survival analysis across edit levels identifies which of the 8 stylometric features resist rewriting pressure (granular, interpretable design guidance) and whether overall semantic signal survives rewriting (aggregate PCA component analysis). The distinction between interpretable stylometric survival and aggregate semantic signal retention is explicitly maintained throughout.</w:t>
      </w:r>
    </w:p>
    <w:p>
      <w:pPr>
        <w:pStyle w:val="ListParagraph"/>
        <w:numPr>
          <w:ilvl w:val="0"/>
          <w:numId w:val="2"/>
        </w:numPr>
        <w:spacing w:before="60" w:after="60"/>
      </w:pPr>
      <w:r>
        <w:rPr>
          <w:rFonts w:ascii="Arial" w:cs="Arial" w:eastAsia="Arial" w:hAnsi="Arial"/>
          <w:sz w:val="20"/>
          <w:szCs w:val="20"/>
        </w:rPr>
        <w:t xml:space="preserve">CLEAN — Unambiguous ablation design with XGBoost held constant across feature-type comparisons.</w:t>
      </w:r>
    </w:p>
    <w:p>
      <w:pPr>
        <w:pStyle w:val="ListParagraph"/>
        <w:numPr>
          <w:ilvl w:val="0"/>
          <w:numId w:val="2"/>
        </w:numPr>
        <w:spacing w:before="60" w:after="60"/>
      </w:pPr>
      <w:r>
        <w:rPr>
          <w:rFonts w:ascii="Arial" w:cs="Arial" w:eastAsia="Arial" w:hAnsi="Arial"/>
          <w:sz w:val="20"/>
          <w:szCs w:val="20"/>
        </w:rPr>
        <w:t xml:space="preserve">REPLICABLE — All scripts, thresholds, prompts, version identifiers, collection timestamps, and pilot data documented for complete replication.</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6. Methodology</w:t>
      </w:r>
    </w:p>
    <w:p>
      <w:pPr>
        <w:pStyle w:val="Heading2"/>
        <w:spacing w:before="200" w:after="100"/>
      </w:pPr>
      <w:r>
        <w:rPr>
          <w:rFonts w:ascii="Arial" w:cs="Arial" w:eastAsia="Arial" w:hAnsi="Arial"/>
          <w:b/>
          <w:bCs/>
          <w:color w:val="2E75B6"/>
          <w:sz w:val="26"/>
          <w:szCs w:val="26"/>
        </w:rPr>
        <w:t xml:space="preserve">6.1 Research Design</w:t>
      </w:r>
    </w:p>
    <w:p>
      <w:pPr>
        <w:spacing w:before="80" w:after="80"/>
        <w:jc w:val="left"/>
      </w:pPr>
      <w:r>
        <w:rPr>
          <w:rFonts w:ascii="Arial" w:cs="Arial" w:eastAsia="Arial" w:hAnsi="Arial"/>
          <w:b w:val="false"/>
          <w:bCs w:val="false"/>
          <w:i w:val="false"/>
          <w:iCs w:val="false"/>
          <w:color w:val="000000"/>
          <w:sz w:val="20"/>
          <w:szCs w:val="20"/>
        </w:rPr>
        <w:t xml:space="preserve">This study employs a quantitative experimental design with three between-subject conditions (edit level: 0%, ~40%, ~65%) and four within-subject classes (model: ChatGPT, Claude, Gemini, Grok). The classifier ensemble is trained on the 0% condition only and evaluated under out-of-distribution (OOD) conditions on the rewritten samples, with no retraining between conditions. OOD accuracy directly operationalises attribution survival. The primary metric is macro F1 score, which accounts for class imbalance and treats all four model classes equally.</w:t>
      </w:r>
    </w:p>
    <w:p>
      <w:pPr>
        <w:pStyle w:val="Heading2"/>
        <w:spacing w:before="200" w:after="100"/>
      </w:pPr>
      <w:r>
        <w:rPr>
          <w:rFonts w:ascii="Arial" w:cs="Arial" w:eastAsia="Arial" w:hAnsi="Arial"/>
          <w:b/>
          <w:bCs/>
          <w:color w:val="2E75B6"/>
          <w:sz w:val="26"/>
          <w:szCs w:val="26"/>
        </w:rPr>
        <w:t xml:space="preserve">6.2 Dataset Construction</w:t>
      </w:r>
    </w:p>
    <w:p>
      <w:pPr>
        <w:pStyle w:val="Heading3"/>
        <w:spacing w:before="160" w:after="80"/>
      </w:pPr>
      <w:r>
        <w:rPr>
          <w:rFonts w:ascii="Arial" w:cs="Arial" w:eastAsia="Arial" w:hAnsi="Arial"/>
          <w:b/>
          <w:bCs/>
          <w:color w:val="404040"/>
          <w:sz w:val="22"/>
          <w:szCs w:val="22"/>
        </w:rPr>
        <w:t xml:space="preserve">6.2.1 Sample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440"/>
        <w:gridCol w:w="1440"/>
        <w:gridCol w:w="1440"/>
        <w:gridCol w:w="840"/>
      </w:tblGrid>
      <w:tr>
        <w:trPr>
          <w:tblHeader/>
        </w:trPr>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Model</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Source</w:t>
            </w:r>
          </w:p>
        </w:tc>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 Original</w:t>
            </w:r>
          </w:p>
        </w:tc>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~40% Light</w:t>
            </w:r>
          </w:p>
        </w:tc>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~65% Heavy</w:t>
            </w:r>
          </w:p>
        </w:tc>
        <w:tc>
          <w:tcPr>
            <w:tcW w:type="dxa" w:w="8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Total</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ChatGPT (GPT-3.5/4)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RAID Benchmark</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900</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(Anthropic)</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RAID Benchmark</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900</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Gemini (Google)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RAID Benchmark</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900</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Grok (xAI)</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xAI API (~$0.15)</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300</w:t>
            </w:r>
          </w:p>
        </w:tc>
        <w:tc>
          <w:tcPr>
            <w:tcW w:type="dxa" w:w="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900</w:t>
            </w:r>
          </w:p>
        </w:tc>
      </w:tr>
      <w:tr>
        <w:tc>
          <w:tcPr>
            <w:tcW w:type="dxa" w:w="2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TOTAL</w:t>
            </w:r>
          </w:p>
        </w:tc>
        <w:tc>
          <w:tcPr>
            <w:tcW w:type="dxa" w:w="2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1,200</w:t>
            </w:r>
          </w:p>
        </w:tc>
        <w:tc>
          <w:tcPr>
            <w:tcW w:type="dxa" w:w="14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1,200</w:t>
            </w:r>
          </w:p>
        </w:tc>
        <w:tc>
          <w:tcPr>
            <w:tcW w:type="dxa" w:w="14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1,200</w:t>
            </w:r>
          </w:p>
        </w:tc>
        <w:tc>
          <w:tcPr>
            <w:tcW w:type="dxa" w:w="8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3,600</w:t>
            </w:r>
          </w:p>
        </w:tc>
      </w:tr>
    </w:tbl>
    <w:p>
      <w:pPr>
        <w:spacing w:before="160" w:after="80"/>
      </w:pPr>
      <w:r>
        <w:t xml:space="preserve"/>
      </w:r>
    </w:p>
    <w:p>
      <w:pPr>
        <w:pStyle w:val="Heading3"/>
        <w:spacing w:before="160" w:after="80"/>
      </w:pPr>
      <w:r>
        <w:rPr>
          <w:rFonts w:ascii="Arial" w:cs="Arial" w:eastAsia="Arial" w:hAnsi="Arial"/>
          <w:b/>
          <w:bCs/>
          <w:color w:val="404040"/>
          <w:sz w:val="22"/>
          <w:szCs w:val="22"/>
        </w:rPr>
        <w:t xml:space="preserve">6.2.2 Domain Balance</w:t>
      </w:r>
    </w:p>
    <w:p>
      <w:pPr>
        <w:spacing w:before="80" w:after="80"/>
        <w:jc w:val="left"/>
      </w:pPr>
      <w:r>
        <w:rPr>
          <w:rFonts w:ascii="Arial" w:cs="Arial" w:eastAsia="Arial" w:hAnsi="Arial"/>
          <w:b w:val="false"/>
          <w:bCs w:val="false"/>
          <w:i w:val="false"/>
          <w:iCs w:val="false"/>
          <w:color w:val="000000"/>
          <w:sz w:val="20"/>
          <w:szCs w:val="20"/>
        </w:rPr>
        <w:t xml:space="preserve">Samples are stratified across four text domains to prevent domain-specific stylometric artefacts from confounding model attribution. Each model contributes 75 samples per domain (academic writing, news reporting, creative prose, Reddit-style informal text) per edit condition.</w:t>
      </w:r>
    </w:p>
    <w:p>
      <w:pPr>
        <w:pStyle w:val="Heading3"/>
        <w:spacing w:before="160" w:after="80"/>
      </w:pPr>
      <w:r>
        <w:rPr>
          <w:rFonts w:ascii="Arial" w:cs="Arial" w:eastAsia="Arial" w:hAnsi="Arial"/>
          <w:b/>
          <w:bCs/>
          <w:color w:val="404040"/>
          <w:sz w:val="22"/>
          <w:szCs w:val="22"/>
        </w:rPr>
        <w:t xml:space="preserve">6.2.3 ChatGPT, Claude, and Gemini — RAID Benchmark</w:t>
      </w:r>
    </w:p>
    <w:p>
      <w:pPr>
        <w:spacing w:before="80" w:after="80"/>
        <w:jc w:val="left"/>
      </w:pPr>
      <w:r>
        <w:rPr>
          <w:rFonts w:ascii="Arial" w:cs="Arial" w:eastAsia="Arial" w:hAnsi="Arial"/>
          <w:b w:val="false"/>
          <w:bCs w:val="false"/>
          <w:i w:val="false"/>
          <w:iCs w:val="false"/>
          <w:color w:val="000000"/>
          <w:sz w:val="20"/>
          <w:szCs w:val="20"/>
        </w:rPr>
        <w:t xml:space="preserve">RAID (Chen et al., 2024) is a publicly available HuggingFace dataset containing machine-generated texts from multiple LLMs across multiple domains with documented generation parameters. It is the largest and most rigorously constructed attribution benchmark available. 300 samples per model are extracted with domain stratification maintained. Limitation acknowledged: RAID contains GPT-3.5 and GPT-4 outputs, not GPT-4o. Stylometric fingerprints of GPT-4o may differ and are noted as a boundary condition.</w:t>
      </w:r>
    </w:p>
    <w:p>
      <w:pPr>
        <w:pStyle w:val="Heading3"/>
        <w:spacing w:before="160" w:after="80"/>
      </w:pPr>
      <w:r>
        <w:rPr>
          <w:rFonts w:ascii="Arial" w:cs="Arial" w:eastAsia="Arial" w:hAnsi="Arial"/>
          <w:b/>
          <w:bCs/>
          <w:color w:val="404040"/>
          <w:sz w:val="22"/>
          <w:szCs w:val="22"/>
        </w:rPr>
        <w:t xml:space="preserve">6.2.4 Grok — xAI API Collection</w:t>
      </w:r>
    </w:p>
    <w:p>
      <w:pPr>
        <w:spacing w:before="80" w:after="80"/>
        <w:jc w:val="left"/>
      </w:pPr>
      <w:r>
        <w:rPr>
          <w:rFonts w:ascii="Arial" w:cs="Arial" w:eastAsia="Arial" w:hAnsi="Arial"/>
          <w:b w:val="false"/>
          <w:bCs w:val="false"/>
          <w:i w:val="false"/>
          <w:iCs w:val="false"/>
          <w:color w:val="000000"/>
          <w:sz w:val="20"/>
          <w:szCs w:val="20"/>
        </w:rPr>
        <w:t xml:space="preserve">Grok is not available in any public benchmark. Primary collection uses the xAI API to generate 300 samples using the same domain-stratified prompts used for RAID extraction, ensuring prompt comparability. Estimated total cost: $0.15 (approximately 180,000 tokens at $0.30-$0.50 per million). Model version and collection timestamp are logged per sample. Risk mitigation: if xAI API costs increase, a semi-automated manual collection fallback using pyautogui and pyperclip is pre-scripted and documented in the Risk Register (Section 8).</w:t>
      </w:r>
    </w:p>
    <w:p>
      <w:pPr>
        <w:pStyle w:val="Heading2"/>
        <w:spacing w:before="200" w:after="100"/>
      </w:pPr>
      <w:r>
        <w:rPr>
          <w:rFonts w:ascii="Arial" w:cs="Arial" w:eastAsia="Arial" w:hAnsi="Arial"/>
          <w:b/>
          <w:bCs/>
          <w:color w:val="2E75B6"/>
          <w:sz w:val="26"/>
          <w:szCs w:val="26"/>
        </w:rPr>
        <w:t xml:space="preserve">6.3 Pilot Study — Empirical Quality Gate Derivation</w:t>
      </w:r>
    </w:p>
    <w:p>
      <w:pPr>
        <w:pBdr>
          <w:top w:val="none"/>
          <w:bottom w:val="none"/>
          <w:left w:val="single" w:color="2E75B6" w:sz="12" w:space="8"/>
          <w:right w:val="none"/>
        </w:pBdr>
        <w:shd w:fill="D6E4F0" w:val="clear"/>
        <w:spacing w:before="120" w:after="120"/>
        <w:ind w:left="720" w:right="720"/>
      </w:pPr>
      <w:r>
        <w:rPr>
          <w:rFonts w:ascii="Arial" w:cs="Arial" w:eastAsia="Arial" w:hAnsi="Arial"/>
          <w:color w:val="1F3864"/>
          <w:sz w:val="20"/>
          <w:szCs w:val="20"/>
        </w:rPr>
        <w:t xml:space="preserve">Status: COMPLETED — 23 February 2026. This section reports actual pilot results, not planned protocol.</w:t>
      </w:r>
    </w:p>
    <w:p>
      <w:pPr>
        <w:spacing w:before="80" w:after="40"/>
      </w:pPr>
      <w:r>
        <w:t xml:space="preserve"/>
      </w:r>
    </w:p>
    <w:p>
      <w:pPr>
        <w:pStyle w:val="Heading3"/>
        <w:spacing w:before="160" w:after="80"/>
      </w:pPr>
      <w:r>
        <w:rPr>
          <w:rFonts w:ascii="Arial" w:cs="Arial" w:eastAsia="Arial" w:hAnsi="Arial"/>
          <w:b/>
          <w:bCs/>
          <w:color w:val="404040"/>
          <w:sz w:val="22"/>
          <w:szCs w:val="22"/>
        </w:rPr>
        <w:t xml:space="preserve">6.3.1 Motivation</w:t>
      </w:r>
    </w:p>
    <w:p>
      <w:pPr>
        <w:spacing w:before="80" w:after="80"/>
        <w:jc w:val="left"/>
      </w:pPr>
      <w:r>
        <w:rPr>
          <w:rFonts w:ascii="Arial" w:cs="Arial" w:eastAsia="Arial" w:hAnsi="Arial"/>
          <w:b w:val="false"/>
          <w:bCs w:val="false"/>
          <w:i w:val="false"/>
          <w:iCs w:val="false"/>
          <w:color w:val="000000"/>
          <w:sz w:val="20"/>
          <w:szCs w:val="20"/>
        </w:rPr>
        <w:t xml:space="preserve">All prior versions of this proposal used arbitrary cosine similarity thresholds (0.85 light, 0.75 heavy) without empirical justification. No principled basis exists for asserting that cosine similarity 0.74 is incoherent and 0.76 is coherent. The pilot study was conducted to derive defensible, human-validated thresholds before any full-scale data collection.</w:t>
      </w:r>
    </w:p>
    <w:p>
      <w:pPr>
        <w:pStyle w:val="Heading3"/>
        <w:spacing w:before="160" w:after="80"/>
      </w:pPr>
      <w:r>
        <w:rPr>
          <w:rFonts w:ascii="Arial" w:cs="Arial" w:eastAsia="Arial" w:hAnsi="Arial"/>
          <w:b/>
          <w:bCs/>
          <w:color w:val="404040"/>
          <w:sz w:val="22"/>
          <w:szCs w:val="22"/>
        </w:rPr>
        <w:t xml:space="preserve">6.3.2 Derivation Protocol</w:t>
      </w:r>
    </w:p>
    <w:p>
      <w:pPr>
        <w:pStyle w:val="ListParagraph"/>
        <w:numPr>
          <w:ilvl w:val="0"/>
          <w:numId w:val="2"/>
        </w:numPr>
        <w:spacing w:before="60" w:after="60"/>
      </w:pPr>
      <w:r>
        <w:rPr>
          <w:rFonts w:ascii="Arial" w:cs="Arial" w:eastAsia="Arial" w:hAnsi="Arial"/>
          <w:sz w:val="20"/>
          <w:szCs w:val="20"/>
        </w:rPr>
        <w:t xml:space="preserve">30 prompts selected (10 academic, 10 news, 10 creative) from RAID domain categories. Submitted to Llama 3.3 70B via Groq API to generate original texts.</w:t>
      </w:r>
    </w:p>
    <w:p>
      <w:pPr>
        <w:pStyle w:val="ListParagraph"/>
        <w:numPr>
          <w:ilvl w:val="0"/>
          <w:numId w:val="2"/>
        </w:numPr>
        <w:spacing w:before="60" w:after="60"/>
      </w:pPr>
      <w:r>
        <w:rPr>
          <w:rFonts w:ascii="Arial" w:cs="Arial" w:eastAsia="Arial" w:hAnsi="Arial"/>
          <w:sz w:val="20"/>
          <w:szCs w:val="20"/>
        </w:rPr>
        <w:t xml:space="preserve">Each original text rewritten twice (light and heavy instruction prompts), producing 60 rewritten samples via Groq API.</w:t>
      </w:r>
    </w:p>
    <w:p>
      <w:pPr>
        <w:pStyle w:val="ListParagraph"/>
        <w:numPr>
          <w:ilvl w:val="0"/>
          <w:numId w:val="2"/>
        </w:numPr>
        <w:spacing w:before="60" w:after="60"/>
      </w:pPr>
      <w:r>
        <w:rPr>
          <w:rFonts w:ascii="Arial" w:cs="Arial" w:eastAsia="Arial" w:hAnsi="Arial"/>
          <w:sz w:val="20"/>
          <w:szCs w:val="20"/>
        </w:rPr>
        <w:t xml:space="preserve">Word-level Levenshtein distance and cosine similarity computed for all 60 samples using python-Levenshtein and all-MiniLM-L6-v2 SentenceTransformer respectively.</w:t>
      </w:r>
    </w:p>
    <w:p>
      <w:pPr>
        <w:pStyle w:val="ListParagraph"/>
        <w:numPr>
          <w:ilvl w:val="0"/>
          <w:numId w:val="2"/>
        </w:numPr>
        <w:spacing w:before="60" w:after="60"/>
      </w:pPr>
      <w:r>
        <w:rPr>
          <w:rFonts w:ascii="Arial" w:cs="Arial" w:eastAsia="Arial" w:hAnsi="Arial"/>
          <w:sz w:val="20"/>
          <w:szCs w:val="20"/>
        </w:rPr>
        <w:t xml:space="preserve">Researcher rated each rewritten sample on a 3-point coherence scale (3=fully coherent, 2=minor issues, 1=incoherent) without access to metric scores, preventing anchoring bias.</w:t>
      </w:r>
    </w:p>
    <w:p>
      <w:pPr>
        <w:pStyle w:val="ListParagraph"/>
        <w:numPr>
          <w:ilvl w:val="0"/>
          <w:numId w:val="2"/>
        </w:numPr>
        <w:spacing w:before="60" w:after="60"/>
      </w:pPr>
      <w:r>
        <w:rPr>
          <w:rFonts w:ascii="Arial" w:cs="Arial" w:eastAsia="Arial" w:hAnsi="Arial"/>
          <w:sz w:val="20"/>
          <w:szCs w:val="20"/>
        </w:rPr>
        <w:t xml:space="preserve">Threshold derivation: midpoint between minimum cosine among ratings &gt;=2 and maximum cosine among ratings =1. Where no rating-1 samples existed, the minimum observed cosine value was used as a conservative floor.</w:t>
      </w:r>
    </w:p>
    <w:p>
      <w:pPr>
        <w:pStyle w:val="Heading3"/>
        <w:spacing w:before="160" w:after="80"/>
      </w:pPr>
      <w:r>
        <w:rPr>
          <w:rFonts w:ascii="Arial" w:cs="Arial" w:eastAsia="Arial" w:hAnsi="Arial"/>
          <w:b/>
          <w:bCs/>
          <w:color w:val="404040"/>
          <w:sz w:val="22"/>
          <w:szCs w:val="22"/>
        </w:rPr>
        <w:t xml:space="preserve">6.3.3 Acknowledged Limitation — Source Text Distribution</w:t>
      </w:r>
    </w:p>
    <w:p>
      <w:pPr>
        <w:spacing w:before="80" w:after="80"/>
        <w:jc w:val="left"/>
      </w:pPr>
      <w:r>
        <w:rPr>
          <w:rFonts w:ascii="Arial" w:cs="Arial" w:eastAsia="Arial" w:hAnsi="Arial"/>
          <w:b w:val="false"/>
          <w:bCs w:val="false"/>
          <w:i w:val="false"/>
          <w:iCs w:val="false"/>
          <w:color w:val="000000"/>
          <w:sz w:val="20"/>
          <w:szCs w:val="20"/>
        </w:rPr>
        <w:t xml:space="preserve">The pilot used Llama 3.3 70B to generate the 30 source texts before rewriting them with Llama 3.3 70B. This constitutes a self-rewriting scenario. A model rewriting its own output may yield a different cosine similarity degradation curve than a model rewriting the stylistically distinct output of ChatGPT, Claude, Gemini, or Grok. The derived thresholds (0.80 and 0.597) are therefore acknowledged as first-pass working estimates calibrated to a Llama baseline distribution rather than the four target model distributions used in the full study.</w:t>
      </w:r>
    </w:p>
    <w:p>
      <w:pPr>
        <w:pBdr>
          <w:top w:val="none"/>
          <w:bottom w:val="none"/>
          <w:left w:val="single" w:color="2E75B6" w:sz="12" w:space="8"/>
          <w:right w:val="none"/>
        </w:pBdr>
        <w:shd w:fill="D6E4F0" w:val="clear"/>
        <w:spacing w:before="120" w:after="120"/>
        <w:ind w:left="720" w:right="720"/>
      </w:pPr>
      <w:r>
        <w:rPr>
          <w:rFonts w:ascii="Arial" w:cs="Arial" w:eastAsia="Arial" w:hAnsi="Arial"/>
          <w:color w:val="1F3864"/>
          <w:sz w:val="20"/>
          <w:szCs w:val="20"/>
        </w:rPr>
        <w:t xml:space="preserve">Strategic Refinement Plan: Immediately following initial dataset collection in Month 1 (RAID extraction and Grok API collection), a calibration refinement pilot will be conducted using 7-8 actual samples from each of the four target models (approximately 30 samples total, drawn from the collected dataset), rewritten by Llama 3.3 70B under the same light and heavy instruction prompts. Thresholds will be re-derived from this correctly calibrated distribution. If the re-derived thresholds differ materially from 0.80 and 0.597, the quality gate will be updated before any production rewriting begins. This sequencing guarantees thresholds are calibrated to the correct baseline before the gate is applied at scale. The current thresholds serve as working estimates only.</w:t>
      </w:r>
    </w:p>
    <w:p>
      <w:pPr>
        <w:spacing w:before="80" w:after="40"/>
      </w:pPr>
      <w:r>
        <w:t xml:space="preserve"/>
      </w:r>
    </w:p>
    <w:p>
      <w:pPr>
        <w:pStyle w:val="Heading3"/>
        <w:spacing w:before="160" w:after="80"/>
      </w:pPr>
      <w:r>
        <w:rPr>
          <w:rFonts w:ascii="Arial" w:cs="Arial" w:eastAsia="Arial" w:hAnsi="Arial"/>
          <w:b/>
          <w:bCs/>
          <w:color w:val="404040"/>
          <w:sz w:val="22"/>
          <w:szCs w:val="22"/>
        </w:rPr>
        <w:t xml:space="preserve">6.3.4 Pilot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800"/>
        <w:gridCol w:w="1800"/>
        <w:gridCol w:w="120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Condition</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Cosine Threshold (Derived)</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Mean Levenshtein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Mean Cosine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Rating-1 Samples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Light rewrite (~40%)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6600"/>
                <w:sz w:val="20"/>
                <w:szCs w:val="20"/>
              </w:rPr>
              <w:t xml:space="preserve">&gt;= 0.80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~0.66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 of 30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Heavy rewrite (~65%)</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6600"/>
                <w:sz w:val="20"/>
                <w:szCs w:val="20"/>
              </w:rPr>
              <w:t xml:space="preserve">&gt;= 0.597</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~0.74</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 of 30</w:t>
            </w:r>
          </w:p>
        </w:tc>
      </w:tr>
    </w:tbl>
    <w:p>
      <w:pPr>
        <w:spacing w:before="8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Key finding: No samples received coherence rating 1 in either condition, indicating that Llama 3.3 70B via Groq reliably produces semantically coherent rewrites under the instruction prompts used. The derived thresholds represent conservative minimum floors rather than incoherence boundaries. These are working estimates pending the Month 1 calibration refinement described in Section 6.3.3. Pilot scatter plots (cosine similarity vs coherence rating) are archived as supplementary material and available for panel inspection.</w:t>
      </w:r>
    </w:p>
    <w:p>
      <w:pPr>
        <w:pStyle w:val="Heading2"/>
        <w:spacing w:before="200" w:after="100"/>
      </w:pPr>
      <w:r>
        <w:rPr>
          <w:rFonts w:ascii="Arial" w:cs="Arial" w:eastAsia="Arial" w:hAnsi="Arial"/>
          <w:b/>
          <w:bCs/>
          <w:color w:val="2E75B6"/>
          <w:sz w:val="26"/>
          <w:szCs w:val="26"/>
        </w:rPr>
        <w:t xml:space="preserve">6.4 LLM-Based Rewriting</w:t>
      </w:r>
    </w:p>
    <w:p>
      <w:pPr>
        <w:pStyle w:val="Heading3"/>
        <w:spacing w:before="160" w:after="80"/>
      </w:pPr>
      <w:r>
        <w:rPr>
          <w:rFonts w:ascii="Arial" w:cs="Arial" w:eastAsia="Arial" w:hAnsi="Arial"/>
          <w:b/>
          <w:bCs/>
          <w:color w:val="404040"/>
          <w:sz w:val="22"/>
          <w:szCs w:val="22"/>
        </w:rPr>
        <w:t xml:space="preserve">6.4.1 Rewriting Tool and Rationale</w:t>
      </w:r>
    </w:p>
    <w:p>
      <w:pPr>
        <w:spacing w:before="80" w:after="80"/>
        <w:jc w:val="left"/>
      </w:pPr>
      <w:r>
        <w:rPr>
          <w:rFonts w:ascii="Arial" w:cs="Arial" w:eastAsia="Arial" w:hAnsi="Arial"/>
          <w:b w:val="false"/>
          <w:bCs w:val="false"/>
          <w:i w:val="false"/>
          <w:iCs w:val="false"/>
          <w:color w:val="000000"/>
          <w:sz w:val="20"/>
          <w:szCs w:val="20"/>
        </w:rPr>
        <w:t xml:space="preserve">All rewrites use Llama 3.3 70B via the Groq free API (rate limit: 14,400 tokens per minute). Llama 3.3 70B is chosen because it produces structurally varied rewrites rather than surface word substitutions, reflecting actual student behaviour in 2025. The study explicitly tests LLM-based rewriting pressure — not commercial humanisation tools — a scope distinction stated clearly in the Introduction. Estimated rewriting time: 3-4 hours for all 2,400 samples.</w:t>
      </w:r>
    </w:p>
    <w:p>
      <w:pPr>
        <w:pStyle w:val="Heading3"/>
        <w:spacing w:before="160" w:after="80"/>
      </w:pPr>
      <w:r>
        <w:rPr>
          <w:rFonts w:ascii="Arial" w:cs="Arial" w:eastAsia="Arial" w:hAnsi="Arial"/>
          <w:b/>
          <w:bCs/>
          <w:color w:val="404040"/>
          <w:sz w:val="22"/>
          <w:szCs w:val="22"/>
        </w:rPr>
        <w:t xml:space="preserve">6.4.2 Instruction Prompts</w:t>
      </w:r>
    </w:p>
    <w:p>
      <w:pPr>
        <w:pBdr>
          <w:top w:val="none"/>
          <w:bottom w:val="none"/>
          <w:left w:val="single" w:color="2E75B6" w:sz="12" w:space="8"/>
          <w:right w:val="none"/>
        </w:pBdr>
        <w:shd w:fill="D6E4F0" w:val="clear"/>
        <w:spacing w:before="120" w:after="120"/>
        <w:ind w:left="720" w:right="720"/>
      </w:pPr>
      <w:r>
        <w:rPr>
          <w:rFonts w:ascii="Arial" w:cs="Arial" w:eastAsia="Arial" w:hAnsi="Arial"/>
          <w:color w:val="1F3864"/>
          <w:sz w:val="20"/>
          <w:szCs w:val="20"/>
        </w:rPr>
        <w:t xml:space="preserve">Light instruction: 'Rewrite the following text in a natural academic tone. Change sentence structures and word choices meaningfully, but preserve all factual content and meaning exactly. Do not add new information.'</w:t>
      </w:r>
    </w:p>
    <w:p>
      <w:pPr>
        <w:spacing w:before="40" w:after="40"/>
      </w:pPr>
      <w:r>
        <w:t xml:space="preserve"/>
      </w:r>
    </w:p>
    <w:p>
      <w:pPr>
        <w:pBdr>
          <w:top w:val="none"/>
          <w:bottom w:val="none"/>
          <w:left w:val="single" w:color="2E75B6" w:sz="12" w:space="8"/>
          <w:right w:val="none"/>
        </w:pBdr>
        <w:shd w:fill="D6E4F0" w:val="clear"/>
        <w:spacing w:before="120" w:after="120"/>
        <w:ind w:left="720" w:right="720"/>
      </w:pPr>
      <w:r>
        <w:rPr>
          <w:rFonts w:ascii="Arial" w:cs="Arial" w:eastAsia="Arial" w:hAnsi="Arial"/>
          <w:color w:val="1F3864"/>
          <w:sz w:val="20"/>
          <w:szCs w:val="20"/>
        </w:rPr>
        <w:t xml:space="preserve">Heavy instruction: 'Completely rephrase the following text. Substantially alter sentence structures, vocabulary, and phrasing throughout the entire passage while preserving the core meaning and maintaining academic coherence. The result should read as if written by a different author.'</w:t>
      </w:r>
    </w:p>
    <w:p>
      <w:pPr>
        <w:pStyle w:val="Heading3"/>
        <w:spacing w:before="160" w:after="80"/>
      </w:pPr>
      <w:r>
        <w:rPr>
          <w:rFonts w:ascii="Arial" w:cs="Arial" w:eastAsia="Arial" w:hAnsi="Arial"/>
          <w:b/>
          <w:bCs/>
          <w:color w:val="404040"/>
          <w:sz w:val="22"/>
          <w:szCs w:val="22"/>
        </w:rPr>
        <w:t xml:space="preserve">6.4.3 Quality Gate Application</w:t>
      </w:r>
    </w:p>
    <w:p>
      <w:pPr>
        <w:spacing w:before="80" w:after="80"/>
        <w:jc w:val="left"/>
      </w:pPr>
      <w:r>
        <w:rPr>
          <w:rFonts w:ascii="Arial" w:cs="Arial" w:eastAsia="Arial" w:hAnsi="Arial"/>
          <w:b w:val="false"/>
          <w:bCs w:val="false"/>
          <w:i w:val="false"/>
          <w:iCs w:val="false"/>
          <w:color w:val="000000"/>
          <w:sz w:val="20"/>
          <w:szCs w:val="20"/>
        </w:rPr>
        <w:t xml:space="preserve">Each rewritten sample is assessed against the dual-metric gate. Samples failing either condition are regenerated up to three times. Samples still failing after three attempts are replaced from the 50-sample reserve pool.</w:t>
      </w:r>
    </w:p>
    <w:p>
      <w:pPr>
        <w:pStyle w:val="Heading2"/>
        <w:spacing w:before="200" w:after="100"/>
      </w:pPr>
      <w:r>
        <w:rPr>
          <w:rFonts w:ascii="Arial" w:cs="Arial" w:eastAsia="Arial" w:hAnsi="Arial"/>
          <w:b/>
          <w:bCs/>
          <w:color w:val="2E75B6"/>
          <w:sz w:val="26"/>
          <w:szCs w:val="26"/>
        </w:rPr>
        <w:t xml:space="preserve">6.5 Quality Gate — Formal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384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Light Target</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Heavy Target</w:t>
            </w:r>
          </w:p>
        </w:tc>
        <w:tc>
          <w:tcPr>
            <w:tcW w:type="dxa" w:w="38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Computation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Word-level Levenshtein (normalised)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0.30 to 0.50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0.55 to 0.70</w:t>
            </w:r>
          </w:p>
        </w:tc>
        <w:tc>
          <w:tcPr>
            <w:tcW w:type="dxa" w:w="3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edit_distance(tokens_A, tokens_B) / max(len(A), len(B)) using python-Levenshtein on whitespace-tokenised text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Cosine similarity (empirically derived)</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&gt;= 0.80</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&gt;= 0.597</w:t>
            </w:r>
          </w:p>
        </w:tc>
        <w:tc>
          <w:tcPr>
            <w:tcW w:type="dxa" w:w="3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all-MiniLM-L6-v2 SentenceTransformer embeddings; mean pooling</w:t>
            </w:r>
          </w:p>
        </w:tc>
      </w:tr>
    </w:tbl>
    <w:p>
      <w:pPr>
        <w:spacing w:before="8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A sample passes the gate if and only if both conditions are satisfied simultaneously. This dual requirement ensures samples are both sufficiently edited (Levenshtein target) and semantically coherent (cosine floor).</w:t>
      </w:r>
    </w:p>
    <w:p>
      <w:pPr>
        <w:pStyle w:val="Heading2"/>
        <w:spacing w:before="200" w:after="100"/>
      </w:pPr>
      <w:r>
        <w:rPr>
          <w:rFonts w:ascii="Arial" w:cs="Arial" w:eastAsia="Arial" w:hAnsi="Arial"/>
          <w:b/>
          <w:bCs/>
          <w:color w:val="2E75B6"/>
          <w:sz w:val="26"/>
          <w:szCs w:val="26"/>
        </w:rPr>
        <w:t xml:space="preserve">6.6 Feature Extraction</w:t>
      </w:r>
    </w:p>
    <w:p>
      <w:pPr>
        <w:pStyle w:val="Heading3"/>
        <w:spacing w:before="160" w:after="80"/>
      </w:pPr>
      <w:r>
        <w:rPr>
          <w:rFonts w:ascii="Arial" w:cs="Arial" w:eastAsia="Arial" w:hAnsi="Arial"/>
          <w:b/>
          <w:bCs/>
          <w:color w:val="404040"/>
          <w:sz w:val="22"/>
          <w:szCs w:val="22"/>
        </w:rPr>
        <w:t xml:space="preserve">6.6.1 Stylometric Features (8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Library</w:t>
            </w:r>
          </w:p>
        </w:tc>
        <w:tc>
          <w:tcPr>
            <w:tcW w:type="dxa" w:w="4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Rationale for Attribution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Mean sentence length (tokens)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spaCy</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LLMs differ in default sentence complexity preferences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Variance of sentence length</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spaCy</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GPT tends toward higher variance; Claude toward uniformity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Type-Token Ratio (TTR)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NLTK</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Proxy for lexical diversity, varies by training data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Hedging word frequency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NLTK word list</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uses more epistemic hedging than GPT (Argasinski, 2025)</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Passive voice rate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spaCy dependency parse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Academic register differs by model training objective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Comma density (per 100 words)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Python string count</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Punctuation patterns are consistent model fingerprints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Mean word length (characters)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Python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Vocabulary sophistication level varies by model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Flesch-Kincaid readability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textstat</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Composite readability score sensitive to sentence and word length</w:t>
            </w:r>
          </w:p>
        </w:tc>
      </w:tr>
    </w:tbl>
    <w:p>
      <w:pPr>
        <w:spacing w:before="160" w:after="80"/>
      </w:pPr>
      <w:r>
        <w:t xml:space="preserve"/>
      </w:r>
    </w:p>
    <w:p>
      <w:pPr>
        <w:pStyle w:val="Heading3"/>
        <w:spacing w:before="160" w:after="80"/>
      </w:pPr>
      <w:r>
        <w:rPr>
          <w:rFonts w:ascii="Arial" w:cs="Arial" w:eastAsia="Arial" w:hAnsi="Arial"/>
          <w:b/>
          <w:bCs/>
          <w:color w:val="404040"/>
          <w:sz w:val="22"/>
          <w:szCs w:val="22"/>
        </w:rPr>
        <w:t xml:space="preserve">6.6.2 Semantic Features — all-MiniLM-L6-v2 (384 dimensions pre-PCA)</w:t>
      </w:r>
    </w:p>
    <w:p>
      <w:pPr>
        <w:spacing w:before="80" w:after="80"/>
        <w:jc w:val="left"/>
      </w:pPr>
      <w:r>
        <w:rPr>
          <w:rFonts w:ascii="Arial" w:cs="Arial" w:eastAsia="Arial" w:hAnsi="Arial"/>
          <w:b w:val="false"/>
          <w:bCs w:val="false"/>
          <w:i w:val="false"/>
          <w:iCs w:val="false"/>
          <w:color w:val="000000"/>
          <w:sz w:val="20"/>
          <w:szCs w:val="20"/>
        </w:rPr>
        <w:t xml:space="preserve">Sentence-level semantic embeddings are extracted using the all-MiniLM-L6-v2 SentenceTransformer model (Wang et al., 2020; Reimers &amp; Gurevych, 2019). This model is chosen over frozen RoBERTa-base [CLS] token extraction for two critical reasons:</w:t>
      </w:r>
    </w:p>
    <w:p>
      <w:pPr>
        <w:pStyle w:val="ListParagraph"/>
        <w:numPr>
          <w:ilvl w:val="0"/>
          <w:numId w:val="2"/>
        </w:numPr>
        <w:spacing w:before="60" w:after="60"/>
      </w:pPr>
      <w:r>
        <w:rPr>
          <w:rFonts w:ascii="Arial" w:cs="Arial" w:eastAsia="Arial" w:hAnsi="Arial"/>
          <w:sz w:val="20"/>
          <w:szCs w:val="20"/>
        </w:rPr>
        <w:t xml:space="preserve">Quality: all-MiniLM-L6-v2 is explicitly trained to produce high-quality document-level semantic representations via contrastive learning on over one billion sentence pairs. Unfinetuned RoBERTa [CLS] representations are not designed for document-level similarity and produce inferior clustering quality (Reimers &amp; Gurevych, 2019).</w:t>
      </w:r>
    </w:p>
    <w:p>
      <w:pPr>
        <w:pStyle w:val="ListParagraph"/>
        <w:numPr>
          <w:ilvl w:val="0"/>
          <w:numId w:val="2"/>
        </w:numPr>
        <w:spacing w:before="60" w:after="60"/>
      </w:pPr>
      <w:r>
        <w:rPr>
          <w:rFonts w:ascii="Arial" w:cs="Arial" w:eastAsia="Arial" w:hAnsi="Arial"/>
          <w:sz w:val="20"/>
          <w:szCs w:val="20"/>
        </w:rPr>
        <w:t xml:space="preserve">Pipeline consistency: all-MiniLM-L6-v2 is already loaded in the quality gate pipeline. Using the same model for feature extraction eliminates model redundancy, reduces GPU/RAM requirements, and ensures semantic representations are computed in the same space throughout the study.</w:t>
      </w:r>
    </w:p>
    <w:p>
      <w:pPr>
        <w:spacing w:before="6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Extraction is performed on full sample texts using mean token pooling (not [CLS] token). All 3,600 samples are processed in a single session with 100-sample checkpointing. RoBERTa is not used in this study.</w:t>
      </w:r>
    </w:p>
    <w:p>
      <w:pPr>
        <w:pStyle w:val="Heading3"/>
        <w:spacing w:before="160" w:after="80"/>
      </w:pPr>
      <w:r>
        <w:rPr>
          <w:rFonts w:ascii="Arial" w:cs="Arial" w:eastAsia="Arial" w:hAnsi="Arial"/>
          <w:b/>
          <w:bCs/>
          <w:color w:val="404040"/>
          <w:sz w:val="22"/>
          <w:szCs w:val="22"/>
        </w:rPr>
        <w:t xml:space="preserve">6.6.3 Dimensionality Reduction — PCA</w:t>
      </w:r>
    </w:p>
    <w:p>
      <w:pPr>
        <w:spacing w:before="80" w:after="80"/>
        <w:jc w:val="left"/>
      </w:pPr>
      <w:r>
        <w:rPr>
          <w:rFonts w:ascii="Arial" w:cs="Arial" w:eastAsia="Arial" w:hAnsi="Arial"/>
          <w:b w:val="false"/>
          <w:bCs w:val="false"/>
          <w:i w:val="false"/>
          <w:iCs w:val="false"/>
          <w:color w:val="000000"/>
          <w:sz w:val="20"/>
          <w:szCs w:val="20"/>
        </w:rPr>
        <w:t xml:space="preserve">The 384-dimensional all-MiniLM-L6-v2 embeddings are reduced using Principal Component Analysis (PCA) before concatenation with stylometric features. The number of PCA components is selected to retain approximately 95% of cumulative explained variance in the training fold, yielding approximately 75 components in preliminary testing.</w:t>
      </w:r>
    </w:p>
    <w:p>
      <w:pPr>
        <w:pBdr>
          <w:top w:val="none"/>
          <w:bottom w:val="none"/>
          <w:left w:val="single" w:color="2E75B6" w:sz="12" w:space="8"/>
          <w:right w:val="none"/>
        </w:pBdr>
        <w:shd w:fill="D6E4F0" w:val="clear"/>
        <w:spacing w:before="120" w:after="120"/>
        <w:ind w:left="720" w:right="720"/>
      </w:pPr>
      <w:r>
        <w:rPr>
          <w:rFonts w:ascii="Arial" w:cs="Arial" w:eastAsia="Arial" w:hAnsi="Arial"/>
          <w:color w:val="1F3864"/>
          <w:sz w:val="20"/>
          <w:szCs w:val="20"/>
        </w:rPr>
        <w:t xml:space="preserve">Overfitting risk analysis: 1,200 training samples, 5-fold CV → 960 training instances per fold. Final feature vector: 8 stylometric + ~75 PCA components = ~83 dimensions. Sample-to-feature ratio: 960 / 83 ≈ 11.6:1. This is within the healthy range for the classifiers used (XGBoost, RF, MLP). Without PCA: 960 / 392 = 2.4:1 — a textbook overfitting risk.</w:t>
      </w:r>
    </w:p>
    <w:p>
      <w:pPr>
        <w:spacing w:before="8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Implementation details: PCA is fitted on the training fold only within each cross-validation loop and applied to test folds — no leakage. The number of components (targeting 95% variance) is also determined on training data only. The exact number of retained components is reported in the results.</w:t>
      </w:r>
    </w:p>
    <w:p>
      <w:pPr>
        <w:pStyle w:val="Heading3"/>
        <w:spacing w:before="160" w:after="80"/>
      </w:pPr>
      <w:r>
        <w:rPr>
          <w:rFonts w:ascii="Arial" w:cs="Arial" w:eastAsia="Arial" w:hAnsi="Arial"/>
          <w:b/>
          <w:bCs/>
          <w:color w:val="404040"/>
          <w:sz w:val="22"/>
          <w:szCs w:val="22"/>
        </w:rPr>
        <w:t xml:space="preserve">6.6.4 Feature Scaling and Concatenation</w:t>
      </w:r>
    </w:p>
    <w:p>
      <w:pPr>
        <w:spacing w:before="80" w:after="80"/>
        <w:jc w:val="left"/>
      </w:pPr>
      <w:r>
        <w:rPr>
          <w:rFonts w:ascii="Arial" w:cs="Arial" w:eastAsia="Arial" w:hAnsi="Arial"/>
          <w:b w:val="false"/>
          <w:bCs w:val="false"/>
          <w:i w:val="false"/>
          <w:iCs w:val="false"/>
          <w:color w:val="000000"/>
          <w:sz w:val="20"/>
          <w:szCs w:val="20"/>
        </w:rPr>
        <w:t xml:space="preserve">An independent StandardScaler is fitted separately on the 8-dimensional stylometric block and the PCA-reduced semantic block before concatenation. This prevents scale differences between feature groups from dominating classification through arithmetic magnitude rather than genuine signal. Scalers are fitted on training fold only (no leakage). Final feature vector: approximately 83 dimensions per sample.</w:t>
      </w:r>
    </w:p>
    <w:p>
      <w:pPr>
        <w:pStyle w:val="Heading2"/>
        <w:spacing w:before="200" w:after="100"/>
      </w:pPr>
      <w:r>
        <w:rPr>
          <w:rFonts w:ascii="Arial" w:cs="Arial" w:eastAsia="Arial" w:hAnsi="Arial"/>
          <w:b/>
          <w:bCs/>
          <w:color w:val="2E75B6"/>
          <w:sz w:val="26"/>
          <w:szCs w:val="26"/>
        </w:rPr>
        <w:t xml:space="preserve">6.7 Classifier — Soft Voting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Estimator</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Hyperparameters</w:t>
            </w:r>
          </w:p>
        </w:tc>
        <w:tc>
          <w:tcPr>
            <w:tcW w:type="dxa" w:w="4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 in Ensemble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XGBoost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n_estimators=200, max_depth=6, learning_rate=0.05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Handles non-linear feature interactions; provides SHAP TreeExplainer compatibility for interpretability analysis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Random Forest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n_estimators=200, max_features=sqrt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Robust to feature collinearity; provides ensemble diversity through bootstrap sampling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MLP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hidden=(256,128,64), dropout=0.3, max_iter=300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Captures distributional patterns in PCA-compressed semantic embeddings through non-linear transformation layers. With ~83 input dimensions and 960 training instances, overfitting risk is substantially reduced versus 768/392 dimensions.</w:t>
            </w:r>
          </w:p>
        </w:tc>
      </w:tr>
    </w:tbl>
    <w:p>
      <w:pPr>
        <w:spacing w:before="8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Soft voting aggregates predicted class probabilities across all three estimators. The ensemble is trained exclusively on the 1,200 original (0% edit condition) samples using 5-fold stratified cross-validation.</w:t>
      </w:r>
    </w:p>
    <w:p>
      <w:pPr>
        <w:pStyle w:val="Heading2"/>
        <w:spacing w:before="200" w:after="100"/>
      </w:pPr>
      <w:r>
        <w:rPr>
          <w:rFonts w:ascii="Arial" w:cs="Arial" w:eastAsia="Arial" w:hAnsi="Arial"/>
          <w:b/>
          <w:bCs/>
          <w:color w:val="2E75B6"/>
          <w:sz w:val="26"/>
          <w:szCs w:val="26"/>
        </w:rPr>
        <w:t xml:space="preserve">6.8 OOD Robustness Evaluation</w:t>
      </w:r>
    </w:p>
    <w:p>
      <w:pPr>
        <w:spacing w:before="80" w:after="80"/>
        <w:jc w:val="left"/>
      </w:pPr>
      <w:r>
        <w:rPr>
          <w:rFonts w:ascii="Arial" w:cs="Arial" w:eastAsia="Arial" w:hAnsi="Arial"/>
          <w:b w:val="false"/>
          <w:bCs w:val="false"/>
          <w:i w:val="false"/>
          <w:iCs w:val="false"/>
          <w:color w:val="000000"/>
          <w:sz w:val="20"/>
          <w:szCs w:val="20"/>
        </w:rPr>
        <w:t xml:space="preserve">The trained ensemble is applied to all 2,400 rewritten samples without retraining. This is the standard OOD robustness evaluation protocol (Hendrycks &amp; Gimpel, 2017; Ovadia et al., 2019): same class labels (four models), different input distribution (rewritten vs original text). The term OOD robustness evaluation is used throughout, explicitly distinguishing it from zero-shot learning (which involves unseen classes). Macro F1 is the primary metric; per-model recall and confusion matrices are secondary.</w:t>
      </w:r>
    </w:p>
    <w:p>
      <w:pPr>
        <w:pStyle w:val="Heading2"/>
        <w:spacing w:before="200" w:after="100"/>
      </w:pPr>
      <w:r>
        <w:rPr>
          <w:rFonts w:ascii="Arial" w:cs="Arial" w:eastAsia="Arial" w:hAnsi="Arial"/>
          <w:b/>
          <w:bCs/>
          <w:color w:val="2E75B6"/>
          <w:sz w:val="26"/>
          <w:szCs w:val="26"/>
        </w:rPr>
        <w:t xml:space="preserve">6.9 Ablation Study Design</w:t>
      </w:r>
    </w:p>
    <w:p>
      <w:pPr>
        <w:spacing w:before="80" w:after="80"/>
        <w:jc w:val="left"/>
      </w:pPr>
      <w:r>
        <w:rPr>
          <w:rFonts w:ascii="Arial" w:cs="Arial" w:eastAsia="Arial" w:hAnsi="Arial"/>
          <w:b w:val="false"/>
          <w:bCs w:val="false"/>
          <w:i w:val="false"/>
          <w:iCs w:val="false"/>
          <w:color w:val="000000"/>
          <w:sz w:val="20"/>
          <w:szCs w:val="20"/>
        </w:rPr>
        <w:t xml:space="preserve">XGBoost is held constant as the single classifier across configurations 1-3, ensuring that observed accuracy differences are attributable solely to the feature set. Configuration 4 tests whether the multi-classifier ensemble adds benefit beyond the best single-classifier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40"/>
        <w:gridCol w:w="2400"/>
        <w:gridCol w:w="2160"/>
        <w:gridCol w:w="2360"/>
      </w:tblGrid>
      <w:tr>
        <w:trPr>
          <w:tblHeader/>
        </w:trPr>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Config</w:t>
            </w:r>
          </w:p>
        </w:tc>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Classifier</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Features</w:t>
            </w:r>
          </w:p>
        </w:tc>
        <w:tc>
          <w:tcPr>
            <w:tcW w:type="dxa" w:w="2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What It Isolates</w:t>
            </w:r>
          </w:p>
        </w:tc>
        <w:tc>
          <w:tcPr>
            <w:tcW w:type="dxa" w:w="2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RQ Answered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XGBoost (constant)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 stylometric only (scaled)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Feature type effect — surface patterns alone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RQ4 baseline</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XGBoost (constant)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 PCA components only (scaled)</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Feature type effect — semantic alone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RQ4 baseline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XGBoost (constant)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~83 combined (independently scaled)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Does combination beat better single type? (RQ4)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RQ4 answer</w:t>
            </w:r>
          </w:p>
        </w:tc>
      </w:tr>
      <w:tr>
        <w:tc>
          <w:tcPr>
            <w:tcW w:type="dxa" w:w="1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 Primary</w:t>
            </w:r>
          </w:p>
        </w:tc>
        <w:tc>
          <w:tcPr>
            <w:tcW w:type="dxa" w:w="14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XGBoost + RF + MLP soft vote</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~83 combined (independently scaled)</w:t>
            </w:r>
          </w:p>
        </w:tc>
        <w:tc>
          <w:tcPr>
            <w:tcW w:type="dxa" w:w="2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Classifier architecture effect — isolated from feature effect</w:t>
            </w:r>
          </w:p>
        </w:tc>
        <w:tc>
          <w:tcPr>
            <w:tcW w:type="dxa" w:w="23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RQ1, RQ2 primary</w:t>
            </w:r>
          </w:p>
        </w:tc>
      </w:tr>
    </w:tbl>
    <w:p>
      <w:pPr>
        <w:spacing w:before="160" w:after="80"/>
      </w:pPr>
      <w:r>
        <w:t xml:space="preserve"/>
      </w:r>
    </w:p>
    <w:p>
      <w:pPr>
        <w:pStyle w:val="Heading2"/>
        <w:spacing w:before="200" w:after="100"/>
      </w:pPr>
      <w:r>
        <w:rPr>
          <w:rFonts w:ascii="Arial" w:cs="Arial" w:eastAsia="Arial" w:hAnsi="Arial"/>
          <w:b/>
          <w:bCs/>
          <w:color w:val="2E75B6"/>
          <w:sz w:val="26"/>
          <w:szCs w:val="26"/>
        </w:rPr>
        <w:t xml:space="preserve">6.10 SHAP Feature Survival Analysis</w:t>
      </w:r>
    </w:p>
    <w:p>
      <w:pPr>
        <w:spacing w:before="80" w:after="80"/>
        <w:jc w:val="left"/>
      </w:pPr>
      <w:r>
        <w:rPr>
          <w:rFonts w:ascii="Arial" w:cs="Arial" w:eastAsia="Arial" w:hAnsi="Arial"/>
          <w:b w:val="false"/>
          <w:bCs w:val="false"/>
          <w:i w:val="false"/>
          <w:iCs w:val="false"/>
          <w:color w:val="000000"/>
          <w:sz w:val="20"/>
          <w:szCs w:val="20"/>
        </w:rPr>
        <w:t xml:space="preserve">SHAP TreeExplainer is applied to the XGBoost component of the ensemble. Baseline SHAP values are computed on the 0% original test fold. Survival SHAP values are computed on the ~40% and ~65% edit test sets. Features maintaining high importance relative to baseline are classified as edit-resistant.</w:t>
      </w:r>
    </w:p>
    <w:p>
      <w:pPr>
        <w:spacing w:before="80" w:after="80"/>
        <w:jc w:val="left"/>
      </w:pPr>
      <w:r>
        <w:rPr>
          <w:rFonts w:ascii="Arial" w:cs="Arial" w:eastAsia="Arial" w:hAnsi="Arial"/>
          <w:b w:val="false"/>
          <w:bCs w:val="false"/>
          <w:i w:val="false"/>
          <w:iCs w:val="false"/>
          <w:color w:val="000000"/>
          <w:sz w:val="20"/>
          <w:szCs w:val="20"/>
        </w:rPr>
        <w:t xml:space="preserve">Two distinct levels of analysis are conducted and explicitly distinguished:</w:t>
      </w:r>
    </w:p>
    <w:p>
      <w:pPr>
        <w:pStyle w:val="ListParagraph"/>
        <w:numPr>
          <w:ilvl w:val="0"/>
          <w:numId w:val="2"/>
        </w:numPr>
        <w:spacing w:before="60" w:after="60"/>
      </w:pPr>
      <w:r>
        <w:rPr>
          <w:rFonts w:ascii="Arial" w:cs="Arial" w:eastAsia="Arial" w:hAnsi="Arial"/>
          <w:sz w:val="20"/>
          <w:szCs w:val="20"/>
        </w:rPr>
        <w:t xml:space="preserve">Stylometric feature survival (granular and interpretable): SHAP values for each of the 8 named stylometric features are reported individually. These features are directly human-interpretable (e.g., sentence length variance, hedging frequency, comma density), so SHAP survival rankings provide genuinely actionable design guidance — a future attribution tool optimised for rewritten text should weight whichever stylometric features prove most edit-resistant. Top edit-resistant and top edit-sensitive stylometric features are identified and interpreted linguistically.</w:t>
      </w:r>
    </w:p>
    <w:p>
      <w:pPr>
        <w:pStyle w:val="ListParagraph"/>
        <w:numPr>
          <w:ilvl w:val="0"/>
          <w:numId w:val="2"/>
        </w:numPr>
        <w:spacing w:before="60" w:after="60"/>
      </w:pPr>
      <w:r>
        <w:rPr>
          <w:rFonts w:ascii="Arial" w:cs="Arial" w:eastAsia="Arial" w:hAnsi="Arial"/>
          <w:sz w:val="20"/>
          <w:szCs w:val="20"/>
        </w:rPr>
        <w:t xml:space="preserve">Semantic signal survival (aggregate only): SHAP values for the ~75 PCA components are summed into a single aggregate semantic importance score at each edit level. This measures whether semantic signal as a whole survives rewriting — a meaningful and reportable finding. Individual PCA component SHAP values are not interpreted as granular feature-level guidance because PCA components are linear combinations of the original 384 embedding dimensions and carry no direct linguistic meaning. Overclaiming interpretability of individual PCA components is explicitly avoided throughout.</w:t>
      </w:r>
    </w:p>
    <w:p>
      <w:pPr>
        <w:spacing w:before="60" w:after="40"/>
      </w:pPr>
      <w:r>
        <w:t xml:space="preserve"/>
      </w:r>
    </w:p>
    <w:p>
      <w:pPr>
        <w:spacing w:before="80" w:after="80"/>
        <w:jc w:val="left"/>
      </w:pPr>
      <w:r>
        <w:rPr>
          <w:rFonts w:ascii="Arial" w:cs="Arial" w:eastAsia="Arial" w:hAnsi="Arial"/>
          <w:b w:val="false"/>
          <w:bCs w:val="false"/>
          <w:i w:val="false"/>
          <w:iCs w:val="false"/>
          <w:color w:val="000000"/>
          <w:sz w:val="20"/>
          <w:szCs w:val="20"/>
        </w:rPr>
        <w:t xml:space="preserve">This two-level design directly addresses the PCA interpretability constraint: stylometric features answer RQ3 at the granular level; PCA semantic components answer RQ3 at the signal-retention level. Both are reported honestly within their appropriate scope. The mapping from top PCA components to original embedding dimensions is provided in the supplementary material for any future work that wishes to probe deeper semantic structure.</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7. Expected Results and Outcome Scenarios</w:t>
      </w:r>
    </w:p>
    <w:p>
      <w:pPr>
        <w:pStyle w:val="Heading2"/>
        <w:spacing w:before="200" w:after="100"/>
      </w:pPr>
      <w:r>
        <w:rPr>
          <w:rFonts w:ascii="Arial" w:cs="Arial" w:eastAsia="Arial" w:hAnsi="Arial"/>
          <w:b/>
          <w:bCs/>
          <w:color w:val="2E75B6"/>
          <w:sz w:val="26"/>
          <w:szCs w:val="26"/>
        </w:rPr>
        <w:t xml:space="preserve">7.1 Projected F1 Score Ranges</w:t>
      </w:r>
    </w:p>
    <w:p>
      <w:pPr>
        <w:spacing w:before="80" w:after="80"/>
        <w:jc w:val="left"/>
      </w:pPr>
      <w:r>
        <w:rPr>
          <w:rFonts w:ascii="Arial" w:cs="Arial" w:eastAsia="Arial" w:hAnsi="Arial"/>
          <w:b w:val="false"/>
          <w:bCs w:val="false"/>
          <w:i w:val="false"/>
          <w:iCs w:val="false"/>
          <w:color w:val="000000"/>
          <w:sz w:val="20"/>
          <w:szCs w:val="20"/>
        </w:rPr>
        <w:t xml:space="preserve">The following ranges are planning estimates derived from comparable studies (Argasinski et al., 2025; Krishna et al., 2023) adjusted for the four-class problem. They are not predictions — actual values are determined empirically. All outcome directions are scientifically informative.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00"/>
        <w:gridCol w:w="1400"/>
        <w:gridCol w:w="1400"/>
        <w:gridCol w:w="2400"/>
      </w:tblGrid>
      <w:tr>
        <w:trPr>
          <w:tblHeader/>
        </w:trPr>
        <w:tc>
          <w:tcPr>
            <w:tcW w:type="dxa" w:w="2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Configuration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0% Original</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~40% Light</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~65% Heavy</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Key Interpretation</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Stylometric Only (XGBoost)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0.60-0.74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0.48-0.62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0.34-0.52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Surface signal strength</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PCA Semantic Only (XGBoost)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0.68-0.80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0.54-0.70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0.40-0.60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 signal strength</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Combined (XGBoost)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0.72-0.84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0.58-0.72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0.44-0.62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Combination benefit</w:t>
            </w:r>
          </w:p>
        </w:tc>
      </w:tr>
      <w:tr>
        <w:tc>
          <w:tcPr>
            <w:tcW w:type="dxa" w:w="27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Ensemble — Primary</w:t>
            </w:r>
          </w:p>
        </w:tc>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0.74-0.86</w:t>
            </w:r>
          </w:p>
        </w:tc>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0.60-0.74</w:t>
            </w:r>
          </w:p>
        </w:tc>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0.46-0.64</w:t>
            </w:r>
          </w:p>
        </w:tc>
        <w:tc>
          <w:tcPr>
            <w:tcW w:type="dxa" w:w="2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Best achievable</w:t>
            </w:r>
          </w:p>
        </w:tc>
      </w:tr>
    </w:tbl>
    <w:p>
      <w:pPr>
        <w:spacing w:before="160" w:after="80"/>
      </w:pPr>
      <w:r>
        <w:t xml:space="preserve"/>
      </w:r>
    </w:p>
    <w:p>
      <w:pPr>
        <w:pStyle w:val="Heading2"/>
        <w:spacing w:before="200" w:after="100"/>
      </w:pPr>
      <w:r>
        <w:rPr>
          <w:rFonts w:ascii="Arial" w:cs="Arial" w:eastAsia="Arial" w:hAnsi="Arial"/>
          <w:b/>
          <w:bCs/>
          <w:color w:val="2E75B6"/>
          <w:sz w:val="26"/>
          <w:szCs w:val="26"/>
        </w:rPr>
        <w:t xml:space="preserve">7.2 Four Outcome Scenarios</w:t>
      </w:r>
    </w:p>
    <w:p>
      <w:pPr>
        <w:pStyle w:val="Heading3"/>
        <w:spacing w:before="160" w:after="80"/>
      </w:pPr>
      <w:r>
        <w:rPr>
          <w:rFonts w:ascii="Arial" w:cs="Arial" w:eastAsia="Arial" w:hAnsi="Arial"/>
          <w:b/>
          <w:bCs/>
          <w:color w:val="404040"/>
          <w:sz w:val="22"/>
          <w:szCs w:val="22"/>
        </w:rPr>
        <w:t xml:space="preserve">Scenario A — Attribution Survives Light Rewriting (Most Likely)</w:t>
      </w:r>
    </w:p>
    <w:p>
      <w:pPr>
        <w:spacing w:before="80" w:after="80"/>
        <w:jc w:val="left"/>
      </w:pPr>
      <w:r>
        <w:rPr>
          <w:rFonts w:ascii="Arial" w:cs="Arial" w:eastAsia="Arial" w:hAnsi="Arial"/>
          <w:b w:val="false"/>
          <w:bCs w:val="false"/>
          <w:i w:val="false"/>
          <w:iCs w:val="false"/>
          <w:color w:val="000000"/>
          <w:sz w:val="20"/>
          <w:szCs w:val="20"/>
        </w:rPr>
        <w:t xml:space="preserve">If ensemble F1 &gt;= 0.65 at ~40% edit level: LLM stylometric fingerprints are robust to light instruction-based rewriting. Implication: attribution systems need not treat light rewriting as an adversarial threat. Grok's behaviour under this condition is the primary novel finding.</w:t>
      </w:r>
    </w:p>
    <w:p>
      <w:pPr>
        <w:pStyle w:val="Heading3"/>
        <w:spacing w:before="160" w:after="80"/>
      </w:pPr>
      <w:r>
        <w:rPr>
          <w:rFonts w:ascii="Arial" w:cs="Arial" w:eastAsia="Arial" w:hAnsi="Arial"/>
          <w:b/>
          <w:bCs/>
          <w:color w:val="404040"/>
          <w:sz w:val="22"/>
          <w:szCs w:val="22"/>
        </w:rPr>
        <w:t xml:space="preserve">Scenario B — Attribution Fails at Heavy Rewriting (Expected)</w:t>
      </w:r>
    </w:p>
    <w:p>
      <w:pPr>
        <w:spacing w:before="80" w:after="80"/>
        <w:jc w:val="left"/>
      </w:pPr>
      <w:r>
        <w:rPr>
          <w:rFonts w:ascii="Arial" w:cs="Arial" w:eastAsia="Arial" w:hAnsi="Arial"/>
          <w:b w:val="false"/>
          <w:bCs w:val="false"/>
          <w:i w:val="false"/>
          <w:iCs w:val="false"/>
          <w:color w:val="000000"/>
          <w:sz w:val="20"/>
          <w:szCs w:val="20"/>
        </w:rPr>
        <w:t xml:space="preserve">If ensemble F1 &lt; 0.50 at ~65% edit level: heavy LLM rewriting effectively anonymises model identity. SHAP survival analysis identifies which features remain useful even in this scenario.</w:t>
      </w:r>
    </w:p>
    <w:p>
      <w:pPr>
        <w:pStyle w:val="Heading3"/>
        <w:spacing w:before="160" w:after="80"/>
      </w:pPr>
      <w:r>
        <w:rPr>
          <w:rFonts w:ascii="Arial" w:cs="Arial" w:eastAsia="Arial" w:hAnsi="Arial"/>
          <w:b/>
          <w:bCs/>
          <w:color w:val="404040"/>
          <w:sz w:val="22"/>
          <w:szCs w:val="22"/>
        </w:rPr>
        <w:t xml:space="preserve">Scenario C — Grok Degrades Differently</w:t>
      </w:r>
    </w:p>
    <w:p>
      <w:pPr>
        <w:spacing w:before="80" w:after="80"/>
        <w:jc w:val="left"/>
      </w:pPr>
      <w:r>
        <w:rPr>
          <w:rFonts w:ascii="Arial" w:cs="Arial" w:eastAsia="Arial" w:hAnsi="Arial"/>
          <w:b w:val="false"/>
          <w:bCs w:val="false"/>
          <w:i w:val="false"/>
          <w:iCs w:val="false"/>
          <w:color w:val="000000"/>
          <w:sz w:val="20"/>
          <w:szCs w:val="20"/>
        </w:rPr>
        <w:t xml:space="preserve">If per-model recall for Grok drops faster or slower than the other three models: confirms that Grok occupies a distinct stylometric space with different rewriting robustness properties. This is a novel and publishable finding regardless of direction.</w:t>
      </w:r>
    </w:p>
    <w:p>
      <w:pPr>
        <w:pStyle w:val="Heading3"/>
        <w:spacing w:before="160" w:after="80"/>
      </w:pPr>
      <w:r>
        <w:rPr>
          <w:rFonts w:ascii="Arial" w:cs="Arial" w:eastAsia="Arial" w:hAnsi="Arial"/>
          <w:b/>
          <w:bCs/>
          <w:color w:val="404040"/>
          <w:sz w:val="22"/>
          <w:szCs w:val="22"/>
        </w:rPr>
        <w:t xml:space="preserve">Scenario D — Null Result (All Models Degrade Identically)</w:t>
      </w:r>
    </w:p>
    <w:p>
      <w:pPr>
        <w:spacing w:before="80" w:after="80"/>
        <w:jc w:val="left"/>
      </w:pPr>
      <w:r>
        <w:rPr>
          <w:rFonts w:ascii="Arial" w:cs="Arial" w:eastAsia="Arial" w:hAnsi="Arial"/>
          <w:b w:val="false"/>
          <w:bCs w:val="false"/>
          <w:i w:val="false"/>
          <w:iCs w:val="false"/>
          <w:color w:val="000000"/>
          <w:sz w:val="20"/>
          <w:szCs w:val="20"/>
        </w:rPr>
        <w:t xml:space="preserve">If degradation curves are indistinguishable across all four models: establishes that LLM-based rewriting uniformly erases inter-model attribution signal — itself a practically important finding. Grok inclusion remains novel and SHAP analysis remains actionable.</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8. Risk Register and Overcoming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4560"/>
        <w:gridCol w:w="1200"/>
      </w:tblGrid>
      <w:tr>
        <w:trPr>
          <w:tblHeader/>
        </w:trP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Severity</w:t>
            </w:r>
          </w:p>
        </w:tc>
        <w:tc>
          <w:tcPr>
            <w:tcW w:type="dxa" w:w="4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Overcoming Strategy</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Fallback Timeline</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xAI API cost increase or access denied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C0000"/>
                <w:sz w:val="20"/>
                <w:szCs w:val="20"/>
              </w:rPr>
              <w:t xml:space="preserve">High</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Semi-automated manual collection via pyautogui/pyperclip. 15 samples/day, $0 cost. Script prepared in advance.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 days</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Groq rate limit blocks rewriting</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C6600"/>
                <w:sz w:val="20"/>
                <w:szCs w:val="20"/>
              </w:rPr>
              <w:t xml:space="preserve">Medium</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HuggingFace Inference API with Mistral-7B as backup rewriter. Document rewriter change as methodological deviation.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 day</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all-MiniLM-L6-v2 extraction fails — memory error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Low</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 batch size 32 -&gt; 8. CPU extraction fallback (~2 hours total — model is only 80MB). 100-sample checkpointing prevents re-work.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Same day</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PCA component count yields poor classifier performance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Low</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Adjust PCA target variance threshold (95% -&gt; 99% to retain more components, or 90% to reduce). Report final component count and cumulative variance in results. This is a hyperparameter, not a failure.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 day</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Pilot thresholds mis-calibrated (self-rewriting flaw)</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CC6600"/>
                <w:sz w:val="20"/>
                <w:szCs w:val="20"/>
              </w:rPr>
              <w:t xml:space="preserve">Medium</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 1 calibration refinement using 7-8 actual samples per target model rewritten by Llama 3.3 70B. Re-derive thresholds from correct distribution. Update quality gate before production rewriting if values differ materially. Current values (0.80, 0.597) serve as working estimates only.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Month 1 Week 1</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Quality gate rejects too many samples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C6600"/>
                <w:sz w:val="20"/>
                <w:szCs w:val="20"/>
              </w:rPr>
              <w:t xml:space="preserve">Medium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50-sample reserve pool per model. If depleted, relax cosine floor by 0.02 and document deviation. Regenerate up to 3x before replacement.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Within 1 week</w:t>
            </w:r>
          </w:p>
        </w:tc>
      </w:tr>
      <w:tr>
        <w:tc>
          <w:tcPr>
            <w:tcW w:type="dxa" w:w="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Grok model updated mid-collection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Low</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 collection within one week. Log model version per API call. Report any version discontinuity in limitations.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Prevented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Null result — attribution collapses under rewriting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6600"/>
                <w:sz w:val="20"/>
                <w:szCs w:val="20"/>
              </w:rPr>
              <w:t xml:space="preserve">Low</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null result is a valid and publishable finding. SHAP survival analysis remains actionable. Report with full transparency.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N/A</w:t>
            </w:r>
          </w:p>
        </w:tc>
      </w:tr>
    </w:tbl>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9. Hardware, Software and Cost</w:t>
      </w:r>
    </w:p>
    <w:p>
      <w:pPr>
        <w:pStyle w:val="Heading2"/>
        <w:spacing w:before="200" w:after="100"/>
      </w:pPr>
      <w:r>
        <w:rPr>
          <w:rFonts w:ascii="Arial" w:cs="Arial" w:eastAsia="Arial" w:hAnsi="Arial"/>
          <w:b/>
          <w:bCs/>
          <w:color w:val="2E75B6"/>
          <w:sz w:val="26"/>
          <w:szCs w:val="26"/>
        </w:rPr>
        <w:t xml:space="preserve">9.1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Specification</w:t>
            </w:r>
          </w:p>
        </w:tc>
        <w:tc>
          <w:tcPr>
            <w:tcW w:type="dxa" w:w="5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Usage in This Study</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GPU</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GB VRAM</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all-MiniLM-L6-v2 embedding extraction only (~30-60 minutes for 3,600 samples at batch size 32). Not used for training. Model is 80MB — comfortably within 4 GB.</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RAM</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 GB</w:t>
            </w:r>
          </w:p>
        </w:tc>
        <w:tc>
          <w:tcPr>
            <w:tcW w:type="dxa" w:w="5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CPU-based operations: training, SHAP, PCA, feature extraction, ablation. 24 GB eliminates all memory risk for ~83-dimensional x 3,600 samples.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CPU</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 cores / 12 threads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Parallel training for XGBoost and Random Forest. MLP training via scikit-learn. All training estimated &lt; 30 minutes total on ~83-dimensional feature vectors.</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Storage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Standard SSD</w:t>
            </w:r>
          </w:p>
        </w:tc>
        <w:tc>
          <w:tcPr>
            <w:tcW w:type="dxa" w:w="5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3,600 text samples, ~83-dimensional feature matrix, checkpoint files. Estimated &lt; 200 MB total (significantly reduced vs 776-dimensional pipeline).</w:t>
            </w:r>
          </w:p>
        </w:tc>
      </w:tr>
    </w:tbl>
    <w:p>
      <w:pPr>
        <w:spacing w:before="160" w:after="80"/>
      </w:pPr>
      <w:r>
        <w:t xml:space="preserve"/>
      </w:r>
    </w:p>
    <w:p>
      <w:pPr>
        <w:pStyle w:val="Heading2"/>
        <w:spacing w:before="200" w:after="100"/>
      </w:pPr>
      <w:r>
        <w:rPr>
          <w:rFonts w:ascii="Arial" w:cs="Arial" w:eastAsia="Arial" w:hAnsi="Arial"/>
          <w:b/>
          <w:bCs/>
          <w:color w:val="2E75B6"/>
          <w:sz w:val="26"/>
          <w:szCs w:val="26"/>
        </w:rPr>
        <w:t xml:space="preserve">9.2 Software (All Free and Open Source)</w:t>
      </w:r>
    </w:p>
    <w:p>
      <w:pPr>
        <w:pStyle w:val="ListParagraph"/>
        <w:numPr>
          <w:ilvl w:val="0"/>
          <w:numId w:val="2"/>
        </w:numPr>
        <w:spacing w:before="60" w:after="60"/>
      </w:pPr>
      <w:r>
        <w:rPr>
          <w:rFonts w:ascii="Arial" w:cs="Arial" w:eastAsia="Arial" w:hAnsi="Arial"/>
          <w:sz w:val="20"/>
          <w:szCs w:val="20"/>
        </w:rPr>
        <w:t xml:space="preserve">Data: HuggingFace datasets, Groq Python SDK, xAI Python SDK</w:t>
      </w:r>
    </w:p>
    <w:p>
      <w:pPr>
        <w:pStyle w:val="ListParagraph"/>
        <w:numPr>
          <w:ilvl w:val="0"/>
          <w:numId w:val="2"/>
        </w:numPr>
        <w:spacing w:before="60" w:after="60"/>
      </w:pPr>
      <w:r>
        <w:rPr>
          <w:rFonts w:ascii="Arial" w:cs="Arial" w:eastAsia="Arial" w:hAnsi="Arial"/>
          <w:sz w:val="20"/>
          <w:szCs w:val="20"/>
        </w:rPr>
        <w:t xml:space="preserve">Rewriting: Groq API (Llama 3.3 70B); python-Levenshtein; SentenceTransformers (all-MiniLM-L6-v2)</w:t>
      </w:r>
    </w:p>
    <w:p>
      <w:pPr>
        <w:pStyle w:val="ListParagraph"/>
        <w:numPr>
          <w:ilvl w:val="0"/>
          <w:numId w:val="2"/>
        </w:numPr>
        <w:spacing w:before="60" w:after="60"/>
      </w:pPr>
      <w:r>
        <w:rPr>
          <w:rFonts w:ascii="Arial" w:cs="Arial" w:eastAsia="Arial" w:hAnsi="Arial"/>
          <w:sz w:val="20"/>
          <w:szCs w:val="20"/>
        </w:rPr>
        <w:t xml:space="preserve">Feature extraction: spaCy (en_core_web_sm); NLTK; textstat; SentenceTransformers (all-MiniLM-L6-v2 — same model as quality gate, no redundancy)</w:t>
      </w:r>
    </w:p>
    <w:p>
      <w:pPr>
        <w:pStyle w:val="ListParagraph"/>
        <w:numPr>
          <w:ilvl w:val="0"/>
          <w:numId w:val="2"/>
        </w:numPr>
        <w:spacing w:before="60" w:after="60"/>
      </w:pPr>
      <w:r>
        <w:rPr>
          <w:rFonts w:ascii="Arial" w:cs="Arial" w:eastAsia="Arial" w:hAnsi="Arial"/>
          <w:sz w:val="20"/>
          <w:szCs w:val="20"/>
        </w:rPr>
        <w:t xml:space="preserve">Dimensionality reduction: scikit-learn PCA</w:t>
      </w:r>
    </w:p>
    <w:p>
      <w:pPr>
        <w:pStyle w:val="ListParagraph"/>
        <w:numPr>
          <w:ilvl w:val="0"/>
          <w:numId w:val="2"/>
        </w:numPr>
        <w:spacing w:before="60" w:after="60"/>
      </w:pPr>
      <w:r>
        <w:rPr>
          <w:rFonts w:ascii="Arial" w:cs="Arial" w:eastAsia="Arial" w:hAnsi="Arial"/>
          <w:sz w:val="20"/>
          <w:szCs w:val="20"/>
        </w:rPr>
        <w:t xml:space="preserve">Classification: scikit-learn (RandomForest, MLP, VotingClassifier); XGBoost</w:t>
      </w:r>
    </w:p>
    <w:p>
      <w:pPr>
        <w:pStyle w:val="ListParagraph"/>
        <w:numPr>
          <w:ilvl w:val="0"/>
          <w:numId w:val="2"/>
        </w:numPr>
        <w:spacing w:before="60" w:after="60"/>
      </w:pPr>
      <w:r>
        <w:rPr>
          <w:rFonts w:ascii="Arial" w:cs="Arial" w:eastAsia="Arial" w:hAnsi="Arial"/>
          <w:sz w:val="20"/>
          <w:szCs w:val="20"/>
        </w:rPr>
        <w:t xml:space="preserve">Interpretability: SHAP (TreeExplainer)</w:t>
      </w:r>
    </w:p>
    <w:p>
      <w:pPr>
        <w:pStyle w:val="ListParagraph"/>
        <w:numPr>
          <w:ilvl w:val="0"/>
          <w:numId w:val="2"/>
        </w:numPr>
        <w:spacing w:before="60" w:after="60"/>
      </w:pPr>
      <w:r>
        <w:rPr>
          <w:rFonts w:ascii="Arial" w:cs="Arial" w:eastAsia="Arial" w:hAnsi="Arial"/>
          <w:sz w:val="20"/>
          <w:szCs w:val="20"/>
        </w:rPr>
        <w:t xml:space="preserve">Analysis and visualisation: pandas; numpy; matplotlib; seaborn</w:t>
      </w:r>
    </w:p>
    <w:p>
      <w:pPr>
        <w:pStyle w:val="Heading2"/>
        <w:spacing w:before="200" w:after="100"/>
      </w:pPr>
      <w:r>
        <w:rPr>
          <w:rFonts w:ascii="Arial" w:cs="Arial" w:eastAsia="Arial" w:hAnsi="Arial"/>
          <w:b/>
          <w:bCs/>
          <w:color w:val="2E75B6"/>
          <w:sz w:val="26"/>
          <w:szCs w:val="26"/>
        </w:rPr>
        <w:t xml:space="preserve">9.3 Total Cost</w:t>
      </w:r>
    </w:p>
    <w:p>
      <w:pPr>
        <w:spacing w:before="80" w:after="80"/>
        <w:jc w:val="left"/>
      </w:pPr>
      <w:r>
        <w:rPr>
          <w:rFonts w:ascii="Arial" w:cs="Arial" w:eastAsia="Arial" w:hAnsi="Arial"/>
          <w:b w:val="false"/>
          <w:bCs w:val="false"/>
          <w:i w:val="false"/>
          <w:iCs w:val="false"/>
          <w:color w:val="000000"/>
          <w:sz w:val="20"/>
          <w:szCs w:val="20"/>
        </w:rPr>
        <w:t xml:space="preserve">Total project cost: approximately $0.15 (xAI API for Grok data collection only). All other tools, libraries, APIs (Groq), and compute are available at zero cost. No cloud compute is required at any stage. The shift from RoBERTa to all-MiniLM-L6-v2 reduces GPU memory requirements and extraction time, as the model is 80 MB versus RoBERTa-base at 500 MB.</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10.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Period</w:t>
            </w:r>
          </w:p>
        </w:tc>
        <w:tc>
          <w:tcPr>
            <w:tcW w:type="dxa" w:w="7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Tasks and Milestones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6600"/>
                <w:sz w:val="20"/>
                <w:szCs w:val="20"/>
              </w:rPr>
              <w:t xml:space="preserve">Week 1 [DONE]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COMPLETED 23/02/2026: Pilot study (n=30, 60 rewrites). Thresholds derived: light &gt;= 0.80, heavy &gt;= 0.597. No rating-1 samples observed. Scatter plots archived. v10 proposal submitted with PCA correction and Research Gaps section.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 1</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RAID benchmark extraction (ChatGPT, Claude, Gemini) — 900 samples with domain stratification. xAI API Grok collection — 300 samples with version logging. Reserve pool construction (50 per model). Dual-metric gate validation at scale.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 2</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LLM rewriting of all 1,200 samples (light and heavy) via Groq API. Quality gate filtering. Reserve pool replacement for persistent failures. Dataset construction complete. Interim progress report to supervisor.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 3</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Stylometric feature extraction for all 3,600 samples. all-MiniLM-L6-v2 semantic embedding extraction (GPU, checkpointed). PCA fitting on training fold (95% variance target). Independent StandardScaler fitting. Feature matrix validation. Thesis writing begins.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 4</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four ablation configurations trained (5-fold stratified CV on 0% condition). OOD evaluation on ~40% and ~65% conditions. Per-model recall and confusion matrices. Results chapter drafted.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 5</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SHAP TreeExplainer analysis across all edit conditions. Feature survival curves generated. Top 10 edit-resistant and edit-sensitive features identified. PCA component-to-embedding dimension mapping. Degradation curve visualisations. Discussion chapter drafted.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 6</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thesis draft assembled. Supervisor review cycle (minimum 2 rounds). Panel presentation preparation. Practice presentations conducted.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Month 7</w:t>
            </w:r>
          </w:p>
        </w:tc>
        <w:tc>
          <w:tcPr>
            <w:tcW w:type="dxa" w:w="7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Revisions based on supervisor feedback. Final thesis submission. arXiv preprint upload. Panel presentation. Project repository made public with all scripts, prompts, pilot data, and PCA components.</w:t>
            </w:r>
          </w:p>
        </w:tc>
      </w:tr>
    </w:tbl>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11. Ethical Considerations</w:t>
      </w:r>
    </w:p>
    <w:p>
      <w:pPr>
        <w:pStyle w:val="ListParagraph"/>
        <w:numPr>
          <w:ilvl w:val="0"/>
          <w:numId w:val="2"/>
        </w:numPr>
        <w:spacing w:before="60" w:after="60"/>
      </w:pPr>
      <w:r>
        <w:rPr>
          <w:rFonts w:ascii="Arial" w:cs="Arial" w:eastAsia="Arial" w:hAnsi="Arial"/>
          <w:sz w:val="20"/>
          <w:szCs w:val="20"/>
        </w:rPr>
        <w:t xml:space="preserve">All data is either publicly available (RAID benchmark via HuggingFace) or generated by the researcher using legitimate API access (xAI API, Groq API). No human participant data is collected.</w:t>
      </w:r>
    </w:p>
    <w:p>
      <w:pPr>
        <w:pStyle w:val="ListParagraph"/>
        <w:numPr>
          <w:ilvl w:val="0"/>
          <w:numId w:val="2"/>
        </w:numPr>
        <w:spacing w:before="60" w:after="60"/>
      </w:pPr>
      <w:r>
        <w:rPr>
          <w:rFonts w:ascii="Arial" w:cs="Arial" w:eastAsia="Arial" w:hAnsi="Arial"/>
          <w:sz w:val="20"/>
          <w:szCs w:val="20"/>
        </w:rPr>
        <w:t xml:space="preserve">The research does not provide novel adversarial tools. The rewriting scripts replicate what students already do with commercially available tools. The contribution is defensive: understanding attribution survival to build better detection systems.</w:t>
      </w:r>
    </w:p>
    <w:p>
      <w:pPr>
        <w:pStyle w:val="ListParagraph"/>
        <w:numPr>
          <w:ilvl w:val="0"/>
          <w:numId w:val="2"/>
        </w:numPr>
        <w:spacing w:before="60" w:after="60"/>
      </w:pPr>
      <w:r>
        <w:rPr>
          <w:rFonts w:ascii="Arial" w:cs="Arial" w:eastAsia="Arial" w:hAnsi="Arial"/>
          <w:sz w:val="20"/>
          <w:szCs w:val="20"/>
        </w:rPr>
        <w:t xml:space="preserve">API usage complies with xAI and Groq terms of service. Generated data is used solely for academic research purposes.</w:t>
      </w:r>
    </w:p>
    <w:p>
      <w:pPr>
        <w:pStyle w:val="ListParagraph"/>
        <w:numPr>
          <w:ilvl w:val="0"/>
          <w:numId w:val="2"/>
        </w:numPr>
        <w:spacing w:before="60" w:after="60"/>
      </w:pPr>
      <w:r>
        <w:rPr>
          <w:rFonts w:ascii="Arial" w:cs="Arial" w:eastAsia="Arial" w:hAnsi="Arial"/>
          <w:sz w:val="20"/>
          <w:szCs w:val="20"/>
        </w:rPr>
        <w:t xml:space="preserve">Findings will be reported transparently regardless of direction. Null results, unexpected outcomes, and methodological deviations are documented and reported — not suppressed.</w:t>
      </w:r>
    </w:p>
    <w:p>
      <w:pPr>
        <w:pStyle w:val="ListParagraph"/>
        <w:numPr>
          <w:ilvl w:val="0"/>
          <w:numId w:val="2"/>
        </w:numPr>
        <w:spacing w:before="60" w:after="60"/>
      </w:pPr>
      <w:r>
        <w:rPr>
          <w:rFonts w:ascii="Arial" w:cs="Arial" w:eastAsia="Arial" w:hAnsi="Arial"/>
          <w:sz w:val="20"/>
          <w:szCs w:val="20"/>
        </w:rPr>
        <w:t xml:space="preserve">The study acknowledges dual-use implications: identifying edit-sensitive features could theoretically guide adversarial rewriting. However, the features identified (stylometric surface patterns) are already well-known in the forensics literature — this study does not introduce novel attack vectors.</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12. Limitations</w:t>
      </w:r>
    </w:p>
    <w:p>
      <w:pPr>
        <w:pStyle w:val="ListParagraph"/>
        <w:numPr>
          <w:ilvl w:val="0"/>
          <w:numId w:val="2"/>
        </w:numPr>
        <w:spacing w:before="60" w:after="60"/>
      </w:pPr>
      <w:r>
        <w:rPr>
          <w:rFonts w:ascii="Arial" w:cs="Arial" w:eastAsia="Arial" w:hAnsi="Arial"/>
          <w:sz w:val="20"/>
          <w:szCs w:val="20"/>
        </w:rPr>
        <w:t xml:space="preserve">Scope — LLM rewriting only: This study measures attribution survival under LLM-based rewriting. Commercial humanisation tools (StealthWriter, Undetectable.ai) use perplexity injection and burstiness manipulation not captured here. This is a clearly identified future research direction.</w:t>
      </w:r>
    </w:p>
    <w:p>
      <w:pPr>
        <w:pStyle w:val="ListParagraph"/>
        <w:numPr>
          <w:ilvl w:val="0"/>
          <w:numId w:val="2"/>
        </w:numPr>
        <w:spacing w:before="60" w:after="60"/>
      </w:pPr>
      <w:r>
        <w:rPr>
          <w:rFonts w:ascii="Arial" w:cs="Arial" w:eastAsia="Arial" w:hAnsi="Arial"/>
          <w:sz w:val="20"/>
          <w:szCs w:val="20"/>
        </w:rPr>
        <w:t xml:space="preserve">Single rewriting model: All rewrites use Llama 3.3 70B. Different rewriting LLMs may produce different stylometric transformations. A multi-rewriter experiment is proposed as future work.</w:t>
      </w:r>
    </w:p>
    <w:p>
      <w:pPr>
        <w:pStyle w:val="ListParagraph"/>
        <w:numPr>
          <w:ilvl w:val="0"/>
          <w:numId w:val="2"/>
        </w:numPr>
        <w:spacing w:before="60" w:after="60"/>
      </w:pPr>
      <w:r>
        <w:rPr>
          <w:rFonts w:ascii="Arial" w:cs="Arial" w:eastAsia="Arial" w:hAnsi="Arial"/>
          <w:sz w:val="20"/>
          <w:szCs w:val="20"/>
        </w:rPr>
        <w:t xml:space="preserve">ChatGPT version boundary: RAID contains GPT-3.5 and GPT-4 outputs. GPT-4o and GPT-4.5 may have different fingerprints. This boundary is documented per sample.</w:t>
      </w:r>
    </w:p>
    <w:p>
      <w:pPr>
        <w:pStyle w:val="ListParagraph"/>
        <w:numPr>
          <w:ilvl w:val="0"/>
          <w:numId w:val="2"/>
        </w:numPr>
        <w:spacing w:before="60" w:after="60"/>
      </w:pPr>
      <w:r>
        <w:rPr>
          <w:rFonts w:ascii="Arial" w:cs="Arial" w:eastAsia="Arial" w:hAnsi="Arial"/>
          <w:sz w:val="20"/>
          <w:szCs w:val="20"/>
        </w:rPr>
        <w:t xml:space="preserve">Pilot source text distribution: The completed pilot study used Llama-generated source texts, creating a self-rewriting scenario. The derived thresholds (0.80 and 0.597) are working estimates pending the Month 1 calibration refinement using actual target model outputs. If re-derived thresholds differ materially, the quality gate is updated before production rewriting begins.</w:t>
      </w:r>
    </w:p>
    <w:p>
      <w:pPr>
        <w:pStyle w:val="ListParagraph"/>
        <w:numPr>
          <w:ilvl w:val="0"/>
          <w:numId w:val="2"/>
        </w:numPr>
        <w:spacing w:before="60" w:after="60"/>
      </w:pPr>
      <w:r>
        <w:rPr>
          <w:rFonts w:ascii="Arial" w:cs="Arial" w:eastAsia="Arial" w:hAnsi="Arial"/>
          <w:sz w:val="20"/>
          <w:szCs w:val="20"/>
        </w:rPr>
        <w:t xml:space="preserve">PCA component interpretability: PCA components are linear combinations of the original 384 embedding dimensions and are not directly human-interpretable. SHAP survival analysis for PCA components is therefore reported as aggregate semantic signal retention rather than granular feature-level design guidance. Only the 8 named stylometric features provide interpretable SHAP-level design guidance for future tools.</w:t>
      </w:r>
    </w:p>
    <w:p>
      <w:pPr>
        <w:pStyle w:val="ListParagraph"/>
        <w:numPr>
          <w:ilvl w:val="0"/>
          <w:numId w:val="2"/>
        </w:numPr>
        <w:spacing w:before="60" w:after="60"/>
      </w:pPr>
      <w:r>
        <w:rPr>
          <w:rFonts w:ascii="Arial" w:cs="Arial" w:eastAsia="Arial" w:hAnsi="Arial"/>
          <w:sz w:val="20"/>
          <w:szCs w:val="20"/>
        </w:rPr>
        <w:t xml:space="preserve">English language only: Stylometric features and LLM-specific patterns may not generalise across languages.</w:t>
      </w:r>
    </w:p>
    <w:p>
      <w:pPr>
        <w:pStyle w:val="ListParagraph"/>
        <w:numPr>
          <w:ilvl w:val="0"/>
          <w:numId w:val="2"/>
        </w:numPr>
        <w:spacing w:before="60" w:after="60"/>
      </w:pPr>
      <w:r>
        <w:rPr>
          <w:rFonts w:ascii="Arial" w:cs="Arial" w:eastAsia="Arial" w:hAnsi="Arial"/>
          <w:sz w:val="20"/>
          <w:szCs w:val="20"/>
        </w:rPr>
        <w:t xml:space="preserve">Snapshot validity: LLMs are updated silently and frequently. Version identifiers and timestamps are logged to mitigate this but cannot eliminate it.</w:t>
      </w:r>
    </w:p>
    <w:p>
      <w:pPr>
        <w:pStyle w:val="ListParagraph"/>
        <w:numPr>
          <w:ilvl w:val="0"/>
          <w:numId w:val="2"/>
        </w:numPr>
        <w:spacing w:before="60" w:after="60"/>
      </w:pPr>
      <w:r>
        <w:rPr>
          <w:rFonts w:ascii="Arial" w:cs="Arial" w:eastAsia="Arial" w:hAnsi="Arial"/>
          <w:sz w:val="20"/>
          <w:szCs w:val="20"/>
        </w:rPr>
        <w:t xml:space="preserve">Sample size: 300 samples per model is appropriate for an undergraduate final year study. It is small relative to industry-scale studies. Replication at larger scale (n &gt;= 1,000 per model) is recommended for follow-up work.</w:t>
      </w:r>
    </w:p>
    <w:p>
      <w:pPr>
        <w:pStyle w:val="ListParagraph"/>
        <w:numPr>
          <w:ilvl w:val="0"/>
          <w:numId w:val="2"/>
        </w:numPr>
        <w:spacing w:before="60" w:after="60"/>
      </w:pPr>
      <w:r>
        <w:rPr>
          <w:rFonts w:ascii="Arial" w:cs="Arial" w:eastAsia="Arial" w:hAnsi="Arial"/>
          <w:sz w:val="20"/>
          <w:szCs w:val="20"/>
        </w:rPr>
        <w:t xml:space="preserve">Pilot coherence ratings: Coherence was rated by a single researcher. Multi-rater inter-annotator reliability with Cohen's Kappa is recommended for future work.</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13. Future Research Directions</w:t>
      </w:r>
    </w:p>
    <w:p>
      <w:pPr>
        <w:pStyle w:val="ListParagraph"/>
        <w:numPr>
          <w:ilvl w:val="0"/>
          <w:numId w:val="2"/>
        </w:numPr>
        <w:spacing w:before="60" w:after="60"/>
      </w:pPr>
      <w:r>
        <w:rPr>
          <w:rFonts w:ascii="Arial" w:cs="Arial" w:eastAsia="Arial" w:hAnsi="Arial"/>
          <w:sz w:val="20"/>
          <w:szCs w:val="20"/>
        </w:rPr>
        <w:t xml:space="preserve">Commercial humaniser robustness: Apply StealthWriter, Undetectable.ai, and similar tools and measure attribution survival under perplexity injection and burstiness manipulation.</w:t>
      </w:r>
    </w:p>
    <w:p>
      <w:pPr>
        <w:pStyle w:val="ListParagraph"/>
        <w:numPr>
          <w:ilvl w:val="0"/>
          <w:numId w:val="2"/>
        </w:numPr>
        <w:spacing w:before="60" w:after="60"/>
      </w:pPr>
      <w:r>
        <w:rPr>
          <w:rFonts w:ascii="Arial" w:cs="Arial" w:eastAsia="Arial" w:hAnsi="Arial"/>
          <w:sz w:val="20"/>
          <w:szCs w:val="20"/>
        </w:rPr>
        <w:t xml:space="preserve">Multi-rewriter study: Compare attribution degradation curves across multiple rewriting LLMs (Llama, Mistral, Gemini Flash) to determine whether degradation is rewriter-specific or universal.</w:t>
      </w:r>
    </w:p>
    <w:p>
      <w:pPr>
        <w:pStyle w:val="ListParagraph"/>
        <w:numPr>
          <w:ilvl w:val="0"/>
          <w:numId w:val="2"/>
        </w:numPr>
        <w:spacing w:before="60" w:after="60"/>
      </w:pPr>
      <w:r>
        <w:rPr>
          <w:rFonts w:ascii="Arial" w:cs="Arial" w:eastAsia="Arial" w:hAnsi="Arial"/>
          <w:sz w:val="20"/>
          <w:szCs w:val="20"/>
        </w:rPr>
        <w:t xml:space="preserve">Finetuned semantic embeddings: Fine-tune all-MiniLM-L6-v2 or a larger SentenceTransformer specifically on LLM-generated text attribution tasks to improve semantic feature quality beyond the general-purpose embeddings used here.</w:t>
      </w:r>
    </w:p>
    <w:p>
      <w:pPr>
        <w:pStyle w:val="ListParagraph"/>
        <w:numPr>
          <w:ilvl w:val="0"/>
          <w:numId w:val="2"/>
        </w:numPr>
        <w:spacing w:before="60" w:after="60"/>
      </w:pPr>
      <w:r>
        <w:rPr>
          <w:rFonts w:ascii="Arial" w:cs="Arial" w:eastAsia="Arial" w:hAnsi="Arial"/>
          <w:sz w:val="20"/>
          <w:szCs w:val="20"/>
        </w:rPr>
        <w:t xml:space="preserve">Rewriting-aware classifier: Retrain the ensemble on rewritten samples and measure whether attribution accuracy recovers — testing whether the problem is fundamentally solvable with more diverse training data.</w:t>
      </w:r>
    </w:p>
    <w:p>
      <w:pPr>
        <w:pStyle w:val="ListParagraph"/>
        <w:numPr>
          <w:ilvl w:val="0"/>
          <w:numId w:val="2"/>
        </w:numPr>
        <w:spacing w:before="60" w:after="60"/>
      </w:pPr>
      <w:r>
        <w:rPr>
          <w:rFonts w:ascii="Arial" w:cs="Arial" w:eastAsia="Arial" w:hAnsi="Arial"/>
          <w:sz w:val="20"/>
          <w:szCs w:val="20"/>
        </w:rPr>
        <w:t xml:space="preserve">Cross-lingual attribution: Extend the framework to multilingual LLM outputs (Arabic, Tamil, Sinhala) relevant to the Sri Lankan academic context.</w:t>
      </w:r>
    </w:p>
    <w:p>
      <w:pPr>
        <w:pStyle w:val="ListParagraph"/>
        <w:numPr>
          <w:ilvl w:val="0"/>
          <w:numId w:val="2"/>
        </w:numPr>
        <w:spacing w:before="60" w:after="60"/>
      </w:pPr>
      <w:r>
        <w:rPr>
          <w:rFonts w:ascii="Arial" w:cs="Arial" w:eastAsia="Arial" w:hAnsi="Arial"/>
          <w:sz w:val="20"/>
          <w:szCs w:val="20"/>
        </w:rPr>
        <w:t xml:space="preserve">Watermarking integration: Investigate whether LLM watermarking schemes (Kirchenbauer et al., 2023) are more robust to rewriting pressure than stylometric attribution.</w:t>
      </w:r>
    </w:p>
    <w:p>
      <w:r>
        <w:br w:type="page"/>
      </w:r>
    </w:p>
    <w:p>
      <w:pPr>
        <w:pStyle w:val="Heading1"/>
        <w:pBdr>
          <w:bottom w:val="single" w:color="2E75B6" w:sz="6" w:space="1"/>
        </w:pBdr>
        <w:spacing w:before="280" w:after="140"/>
      </w:pPr>
      <w:r>
        <w:rPr>
          <w:rFonts w:ascii="Arial" w:cs="Arial" w:eastAsia="Arial" w:hAnsi="Arial"/>
          <w:b/>
          <w:bCs/>
          <w:color w:val="1F3864"/>
          <w:sz w:val="32"/>
          <w:szCs w:val="32"/>
        </w:rPr>
        <w:t xml:space="preserve">14. References</w:t>
      </w:r>
    </w:p>
    <w:p>
      <w:pPr>
        <w:spacing w:before="80" w:after="80"/>
        <w:jc w:val="left"/>
      </w:pPr>
      <w:r>
        <w:rPr>
          <w:rFonts w:ascii="Arial" w:cs="Arial" w:eastAsia="Arial" w:hAnsi="Arial"/>
          <w:b w:val="false"/>
          <w:bCs w:val="false"/>
          <w:i w:val="false"/>
          <w:iCs w:val="false"/>
          <w:color w:val="000000"/>
          <w:sz w:val="20"/>
          <w:szCs w:val="20"/>
        </w:rPr>
        <w:t xml:space="preserve">Argasinski, J., et al. (2025). Stylometry recognizes human and LLM-generated texts in short samples. arXiv preprint.</w:t>
      </w:r>
    </w:p>
    <w:p>
      <w:pPr>
        <w:spacing w:before="80" w:after="80"/>
        <w:jc w:val="left"/>
      </w:pPr>
      <w:r>
        <w:rPr>
          <w:rFonts w:ascii="Arial" w:cs="Arial" w:eastAsia="Arial" w:hAnsi="Arial"/>
          <w:b w:val="false"/>
          <w:bCs w:val="false"/>
          <w:i w:val="false"/>
          <w:iCs w:val="false"/>
          <w:color w:val="000000"/>
          <w:sz w:val="20"/>
          <w:szCs w:val="20"/>
        </w:rPr>
        <w:t xml:space="preserve">Bishop, C. M. (2006). Pattern Recognition and Machine Learning. Springer. (Sections 1.4, 3.4 — curse of dimensionality.)</w:t>
      </w:r>
    </w:p>
    <w:p>
      <w:pPr>
        <w:spacing w:before="80" w:after="80"/>
        <w:jc w:val="left"/>
      </w:pPr>
      <w:r>
        <w:rPr>
          <w:rFonts w:ascii="Arial" w:cs="Arial" w:eastAsia="Arial" w:hAnsi="Arial"/>
          <w:b w:val="false"/>
          <w:bCs w:val="false"/>
          <w:i w:val="false"/>
          <w:iCs w:val="false"/>
          <w:color w:val="000000"/>
          <w:sz w:val="20"/>
          <w:szCs w:val="20"/>
        </w:rPr>
        <w:t xml:space="preserve">Cao, Y., et al. (2025). Homogenising effect of LLMs on academic writing styles. arXiv preprint.</w:t>
      </w:r>
    </w:p>
    <w:p>
      <w:pPr>
        <w:spacing w:before="80" w:after="80"/>
        <w:jc w:val="left"/>
      </w:pPr>
      <w:r>
        <w:rPr>
          <w:rFonts w:ascii="Arial" w:cs="Arial" w:eastAsia="Arial" w:hAnsi="Arial"/>
          <w:b w:val="false"/>
          <w:bCs w:val="false"/>
          <w:i w:val="false"/>
          <w:iCs w:val="false"/>
          <w:color w:val="000000"/>
          <w:sz w:val="20"/>
          <w:szCs w:val="20"/>
        </w:rPr>
        <w:t xml:space="preserve">Chen, D., et al. (2024). RAID: A shared benchmark for robust evaluation of machine-generated text detectors. Proceedings of ACL 2024.</w:t>
      </w:r>
    </w:p>
    <w:p>
      <w:pPr>
        <w:spacing w:before="80" w:after="80"/>
        <w:jc w:val="left"/>
      </w:pPr>
      <w:r>
        <w:rPr>
          <w:rFonts w:ascii="Arial" w:cs="Arial" w:eastAsia="Arial" w:hAnsi="Arial"/>
          <w:b w:val="false"/>
          <w:bCs w:val="false"/>
          <w:i w:val="false"/>
          <w:iCs w:val="false"/>
          <w:color w:val="000000"/>
          <w:sz w:val="20"/>
          <w:szCs w:val="20"/>
        </w:rPr>
        <w:t xml:space="preserve">Devlin, J., Chang, M., Lee, K., &amp; Toutanova, K. (2019). BERT: Pre-training of deep bidirectional transformers for language understanding. NAACL 2019.</w:t>
      </w:r>
    </w:p>
    <w:p>
      <w:pPr>
        <w:spacing w:before="80" w:after="80"/>
        <w:jc w:val="left"/>
      </w:pPr>
      <w:r>
        <w:rPr>
          <w:rFonts w:ascii="Arial" w:cs="Arial" w:eastAsia="Arial" w:hAnsi="Arial"/>
          <w:b w:val="false"/>
          <w:bCs w:val="false"/>
          <w:i w:val="false"/>
          <w:iCs w:val="false"/>
          <w:color w:val="000000"/>
          <w:sz w:val="20"/>
          <w:szCs w:val="20"/>
        </w:rPr>
        <w:t xml:space="preserve">Hendrycks, D., &amp; Gimpel, K. (2017). A baseline for detecting misclassified and out-of-distribution examples in neural networks. ICLR 2017.</w:t>
      </w:r>
    </w:p>
    <w:p>
      <w:pPr>
        <w:spacing w:before="80" w:after="80"/>
        <w:jc w:val="left"/>
      </w:pPr>
      <w:r>
        <w:rPr>
          <w:rFonts w:ascii="Arial" w:cs="Arial" w:eastAsia="Arial" w:hAnsi="Arial"/>
          <w:b w:val="false"/>
          <w:bCs w:val="false"/>
          <w:i w:val="false"/>
          <w:iCs w:val="false"/>
          <w:color w:val="000000"/>
          <w:sz w:val="20"/>
          <w:szCs w:val="20"/>
        </w:rPr>
        <w:t xml:space="preserve">Kirchenbauer, J., et al. (2023). A watermark for large language models. ICML 2023.</w:t>
      </w:r>
    </w:p>
    <w:p>
      <w:pPr>
        <w:spacing w:before="80" w:after="80"/>
        <w:jc w:val="left"/>
      </w:pPr>
      <w:r>
        <w:rPr>
          <w:rFonts w:ascii="Arial" w:cs="Arial" w:eastAsia="Arial" w:hAnsi="Arial"/>
          <w:b w:val="false"/>
          <w:bCs w:val="false"/>
          <w:i w:val="false"/>
          <w:iCs w:val="false"/>
          <w:color w:val="000000"/>
          <w:sz w:val="20"/>
          <w:szCs w:val="20"/>
        </w:rPr>
        <w:t xml:space="preserve">Krishna, K., et al. (2023). Paraphrasing evades detectors of AI-generated text, but retrieval is an effective defense. NeurIPS 2023.</w:t>
      </w:r>
    </w:p>
    <w:p>
      <w:pPr>
        <w:spacing w:before="80" w:after="80"/>
        <w:jc w:val="left"/>
      </w:pPr>
      <w:r>
        <w:rPr>
          <w:rFonts w:ascii="Arial" w:cs="Arial" w:eastAsia="Arial" w:hAnsi="Arial"/>
          <w:b w:val="false"/>
          <w:bCs w:val="false"/>
          <w:i w:val="false"/>
          <w:iCs w:val="false"/>
          <w:color w:val="000000"/>
          <w:sz w:val="20"/>
          <w:szCs w:val="20"/>
        </w:rPr>
        <w:t xml:space="preserve">Lundberg, S., &amp; Lee, S.I. (2017). A unified approach to interpreting model predictions (SHAP). NeurIPS 2017.</w:t>
      </w:r>
    </w:p>
    <w:p>
      <w:pPr>
        <w:spacing w:before="80" w:after="80"/>
        <w:jc w:val="left"/>
      </w:pPr>
      <w:r>
        <w:rPr>
          <w:rFonts w:ascii="Arial" w:cs="Arial" w:eastAsia="Arial" w:hAnsi="Arial"/>
          <w:b w:val="false"/>
          <w:bCs w:val="false"/>
          <w:i w:val="false"/>
          <w:iCs w:val="false"/>
          <w:color w:val="000000"/>
          <w:sz w:val="20"/>
          <w:szCs w:val="20"/>
        </w:rPr>
        <w:t xml:space="preserve">Ovadia, Y., et al. (2019). Can you trust your model's uncertainty? Evaluating predictive uncertainty under dataset shift. NeurIPS 2019.</w:t>
      </w:r>
    </w:p>
    <w:p>
      <w:pPr>
        <w:spacing w:before="80" w:after="80"/>
        <w:jc w:val="left"/>
      </w:pPr>
      <w:r>
        <w:rPr>
          <w:rFonts w:ascii="Arial" w:cs="Arial" w:eastAsia="Arial" w:hAnsi="Arial"/>
          <w:b w:val="false"/>
          <w:bCs w:val="false"/>
          <w:i w:val="false"/>
          <w:iCs w:val="false"/>
          <w:color w:val="000000"/>
          <w:sz w:val="20"/>
          <w:szCs w:val="20"/>
        </w:rPr>
        <w:t xml:space="preserve">Padhi, I., et al. (2025). Divergent LLM adoption and convergence paths in professional writing. arXiv preprint.</w:t>
      </w:r>
    </w:p>
    <w:p>
      <w:pPr>
        <w:spacing w:before="80" w:after="80"/>
        <w:jc w:val="left"/>
      </w:pPr>
      <w:r>
        <w:rPr>
          <w:rFonts w:ascii="Arial" w:cs="Arial" w:eastAsia="Arial" w:hAnsi="Arial"/>
          <w:b w:val="false"/>
          <w:bCs w:val="false"/>
          <w:i w:val="false"/>
          <w:iCs w:val="false"/>
          <w:color w:val="000000"/>
          <w:sz w:val="20"/>
          <w:szCs w:val="20"/>
        </w:rPr>
        <w:t xml:space="preserve">Przystalski, K., et al. (2025). StyloMetrix for LLM stylometric fingerprinting. arXiv preprint.</w:t>
      </w:r>
    </w:p>
    <w:p>
      <w:pPr>
        <w:spacing w:before="80" w:after="80"/>
        <w:jc w:val="left"/>
      </w:pPr>
      <w:r>
        <w:rPr>
          <w:rFonts w:ascii="Arial" w:cs="Arial" w:eastAsia="Arial" w:hAnsi="Arial"/>
          <w:b w:val="false"/>
          <w:bCs w:val="false"/>
          <w:i w:val="false"/>
          <w:iCs w:val="false"/>
          <w:color w:val="000000"/>
          <w:sz w:val="20"/>
          <w:szCs w:val="20"/>
        </w:rPr>
        <w:t xml:space="preserve">Reimers, N., &amp; Gurevych, I. (2019). Sentence-BERT: Sentence embeddings using Siamese BERT-networks. EMNLP 2019.</w:t>
      </w:r>
    </w:p>
    <w:p>
      <w:pPr>
        <w:spacing w:before="80" w:after="80"/>
        <w:jc w:val="left"/>
      </w:pPr>
      <w:r>
        <w:rPr>
          <w:rFonts w:ascii="Arial" w:cs="Arial" w:eastAsia="Arial" w:hAnsi="Arial"/>
          <w:b w:val="false"/>
          <w:bCs w:val="false"/>
          <w:i w:val="false"/>
          <w:iCs w:val="false"/>
          <w:color w:val="000000"/>
          <w:sz w:val="20"/>
          <w:szCs w:val="20"/>
        </w:rPr>
        <w:t xml:space="preserve">Wang, W., et al. (2020). MiniLM: Deep self-attention distillation for task-agnostic compression of pre-trained transformers. NeurIPS 2020.</w:t>
      </w:r>
    </w:p>
    <w:p>
      <w:pPr>
        <w:spacing w:before="80" w:after="80"/>
        <w:jc w:val="left"/>
      </w:pPr>
      <w:r>
        <w:rPr>
          <w:rFonts w:ascii="Arial" w:cs="Arial" w:eastAsia="Arial" w:hAnsi="Arial"/>
          <w:b w:val="false"/>
          <w:bCs w:val="false"/>
          <w:i w:val="false"/>
          <w:iCs w:val="false"/>
          <w:color w:val="000000"/>
          <w:sz w:val="20"/>
          <w:szCs w:val="20"/>
        </w:rPr>
        <w:t xml:space="preserve">Wang, Y., et al. (2024). M4: Multi-generator, multi-domain, multi-lingual black-box machine-generated text detection. EACL 2024.</w:t>
      </w:r>
    </w:p>
    <w:p>
      <w:pPr>
        <w:spacing w:before="80" w:after="80"/>
        <w:jc w:val="left"/>
      </w:pPr>
      <w:r>
        <w:rPr>
          <w:rFonts w:ascii="Arial" w:cs="Arial" w:eastAsia="Arial" w:hAnsi="Arial"/>
          <w:b w:val="false"/>
          <w:bCs w:val="false"/>
          <w:i w:val="false"/>
          <w:iCs w:val="false"/>
          <w:color w:val="000000"/>
          <w:sz w:val="20"/>
          <w:szCs w:val="20"/>
        </w:rPr>
        <w:t xml:space="preserve">Ye, J., et al. (2025). Attribution of AI-generated text including Grok as unseen model. arXiv preprint.</w:t>
      </w:r>
    </w:p>
    <w:p>
      <w:pPr>
        <w:spacing w:before="80" w:after="80"/>
        <w:jc w:val="left"/>
      </w:pPr>
      <w:r>
        <w:rPr>
          <w:rFonts w:ascii="Arial" w:cs="Arial" w:eastAsia="Arial" w:hAnsi="Arial"/>
          <w:b w:val="false"/>
          <w:bCs w:val="false"/>
          <w:i w:val="false"/>
          <w:iCs w:val="false"/>
          <w:color w:val="000000"/>
          <w:sz w:val="20"/>
          <w:szCs w:val="20"/>
        </w:rPr>
        <w:t xml:space="preserve">Zhang, X., et al. (2025). Adversarial paraphrasing attacks on AI text detection systems. arXiv preprint.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888888"/>
        <w:sz w:val="18"/>
        <w:szCs w:val="18"/>
      </w:rPr>
      <w:t xml:space="preserve">AI Attribution Proposal  |  University of Vavuniya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2026-02-23T07:02:33.059Z</dcterms:created>
  <dcterms:modified xsi:type="dcterms:W3CDTF">2026-02-23T07:02:33.060Z</dcterms:modified>
</cp:coreProperties>
</file>

<file path=docProps/custom.xml><?xml version="1.0" encoding="utf-8"?>
<Properties xmlns="http://schemas.openxmlformats.org/officeDocument/2006/custom-properties" xmlns:vt="http://schemas.openxmlformats.org/officeDocument/2006/docPropsVTypes"/>
</file>