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caps/>
          <w:sz w:val="28"/>
          <w:szCs w:val="28"/>
        </w:rPr>
        <w:t xml:space="preserve">CHAPTER 2</w:t>
      </w:r>
    </w:p>
    <w:p>
      <w:pPr>
        <w:spacing w:after="720" w:before="0" w:line="480" w:lineRule="auto"/>
        <w:jc w:val="center"/>
      </w:pPr>
      <w:r>
        <w:rPr>
          <w:rFonts w:ascii="Times New Roman" w:cs="Times New Roman" w:eastAsia="Times New Roman" w:hAnsi="Times New Roman"/>
          <w:b/>
          <w:bCs/>
          <w:caps/>
          <w:sz w:val="28"/>
          <w:szCs w:val="28"/>
        </w:rPr>
        <w:t xml:space="preserve">LITERATURE REVIEW</w:t>
      </w:r>
    </w:p>
    <w:p>
      <w:pPr>
        <w:pStyle w:val="Heading2"/>
      </w:pPr>
      <w:r>
        <w:rPr>
          <w:rFonts w:ascii="Times New Roman" w:cs="Times New Roman" w:eastAsia="Times New Roman" w:hAnsi="Times New Roman"/>
          <w:b/>
          <w:bCs/>
          <w:sz w:val="24"/>
          <w:szCs w:val="24"/>
        </w:rPr>
        <w:t xml:space="preserve">2.1 Chapter Overview</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This chapter builds the theoretical and empirical foundation for the research design. Five interconnected bodies of literature are examined: the current state of AI-generated text detection, existing systems and frameworks for attribution and detection, the algorithms that underpin them, the design and workflow choices researchers have made, and the technical tools this study draws on. Each section moves progressively from broad context toward the specific technical gap this study fills. Section 2.6 closes the chapter by linking the findings from each literature area to the four gaps identified in Chapter 1 and offering a critical personal reflection on why existing work, despite its volume, has not answered the research question this study poses.</w:t>
      </w:r>
    </w:p>
    <w:p>
      <w:pPr>
        <w:pStyle w:val="Heading2"/>
      </w:pPr>
      <w:r>
        <w:rPr>
          <w:rFonts w:ascii="Times New Roman" w:cs="Times New Roman" w:eastAsia="Times New Roman" w:hAnsi="Times New Roman"/>
          <w:b/>
          <w:bCs/>
          <w:sz w:val="24"/>
          <w:szCs w:val="24"/>
        </w:rPr>
        <w:t xml:space="preserve">2.2 Conceptual Map of the Literature</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Figure 2.1 below presents the conceptual map of the five literature streams reviewed in this chapter and the logical relationships between them. The domain overview (Section 2.3) provides the broad context within which detection and attribution sit. Existing systems (Section 2.4) are assessed comparatively to identify what has and has not been attempted before this study. The technological analysis (Section 2.5) drills into the algorithmic, design, and workflow choices that distinguish approaches from one another. The reflection (Section 2.6) integrates findings across all five streams into a consolidated gap statement.</w:t>
      </w:r>
    </w:p>
    <w:p>
      <w:pPr>
        <w:spacing w:after="80" w:before="200" w:line="480" w:lineRule="auto"/>
        <w:jc w:val="center"/>
      </w:pPr>
      <w:r>
        <w:rPr>
          <w:rFonts w:ascii="Times New Roman" w:cs="Times New Roman" w:eastAsia="Times New Roman" w:hAnsi="Times New Roman"/>
          <w:b/>
          <w:bCs/>
          <w:sz w:val="20"/>
          <w:szCs w:val="20"/>
        </w:rPr>
        <w:t xml:space="preserve">Figure 2.1: Conceptual Map of Literature Streams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DOMAIN OVERVIEW (§2.3)
AI text detection landscape
Binary detection → Attribution
Commercial LLM proliferation</w:t>
            </w:r>
          </w:p>
        </w:tc>
        <w:tc>
          <w:tcPr>
            <w:tcW w:type="dxa" w:w="301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
            </w:r>
          </w:p>
        </w:tc>
        <w:tc>
          <w:tcPr>
            <w:tcW w:type="dxa" w:w="3008"/>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EXISTING SYSTEMS (§2.4)
RAID Benchmark
M4 Benchmark
DetectGPT / GPTZero
Styleo-metric frameworks</w:t>
            </w:r>
          </w:p>
        </w:tc>
      </w:tr>
      <w:tr>
        <w:tc>
          <w:tcPr>
            <w:tcW w:type="dxa" w:w="3008"/>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
            </w:r>
          </w:p>
        </w:tc>
        <w:tc>
          <w:tcPr>
            <w:tcW w:type="dxa" w:w="301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 feeds into ↓
TECHNOLOGICAL ANALYSIS (§2.5)
Algorithmic · Design · Workflow
↓ converges in ↓</w:t>
            </w:r>
          </w:p>
        </w:tc>
        <w:tc>
          <w:tcPr>
            <w:tcW w:type="dxa" w:w="3008"/>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008"/>
            <w:tcBorders>
              <w:top w:val="single" w:color="AAAAAA" w:sz="4"/>
              <w:left w:val="single" w:color="AAAAAA" w:sz="4"/>
              <w:bottom w:val="single" w:color="AAAAAA" w:sz="4"/>
              <w:right w:val="single" w:color="AAAAAA" w:sz="4"/>
            </w:tcBorders>
            <w:shd w:fill="FFF2CC"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TECHNICAL TOOLS
SentenceTransformers
XGBoost / RF / MLP
SHAP / PCA</w:t>
            </w:r>
          </w:p>
        </w:tc>
        <w:tc>
          <w:tcPr>
            <w:tcW w:type="dxa" w:w="301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
            </w:r>
          </w:p>
        </w:tc>
        <w:tc>
          <w:tcPr>
            <w:tcW w:type="dxa" w:w="3008"/>
            <w:tcBorders>
              <w:top w:val="single" w:color="AAAAAA" w:sz="4"/>
              <w:left w:val="single" w:color="AAAAAA" w:sz="4"/>
              <w:bottom w:val="single" w:color="AAAAAA" w:sz="4"/>
              <w:right w:val="single" w:color="AAAAAA" w:sz="4"/>
            </w:tcBorders>
            <w:shd w:fill="FCE4D6"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RESEARCH GAP
(§2.6 Reflection)
Grok absent
No attribution degradation data
T5 vs LLM rewriting
No SHAP survival analysis</w:t>
            </w:r>
          </w:p>
        </w:tc>
      </w:tr>
    </w:tbl>
    <w:p>
      <w:pPr>
        <w:spacing w:line="24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4"/>
          <w:szCs w:val="24"/>
        </w:rPr>
        <w:t xml:space="preserve">2.3 Domain Overview</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emergence of large language models as public-facing tools has quietly restructured what academic integrity enforcement means in practice. Until 2022, the question institutions needed to answer was relatively contained: did a student copy from another human source? Today that question has a second dimension — did a student use an AI tool — and a third that barely anyone has addressed yet — which AI tool did they use, and does the evidence of that usage survive if they tried to disguise it?</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field of AI-generated text detection developed in direct response to GPT-2's public release in 2019 (Solaiman et al., 2019). What began as a narrow binary classification problem has since expanded into a technically rich research area spanning statistical detection, watermarking, neural classification, and most recently, multi-class attribution. By early 2025, four dominant commercial LLMs — ChatGPT, Claude, Gemini, and Grok — are used by millions of students globally. Padhi et al. (2025) documented distinct adoption patterns across these four models, noting that Grok users skew toward shorter, opinion-driven prompts while ChatGPT users generate longer, more academically structured outputs. These behavioural differences matter for attribution: they imply that stylometric fingerprints vary not just because of how models are built, but because of how users interact with them.</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A crucial distinction that the detection literature has historically blurred is the difference between detecting that text is AI-generated and attributing it to a specific source model. Binary detection asks a yes/no question. Attribution asks a four-class question. These are not equivalent in difficulty, in the features required, or in the institutional value of the answer. Knowing that a submission is AI-generated triggers a process. Knowing which model generated it — and knowing that the student's second-year submission used ChatGPT while the third-year submission used Grok — builds a chain of evidence that binary detection cannot provide. That distinction is the domain-level motivation for this entire study.</w:t>
      </w:r>
    </w:p>
    <w:p>
      <w:pPr>
        <w:pStyle w:val="Heading2"/>
      </w:pPr>
      <w:r>
        <w:rPr>
          <w:rFonts w:ascii="Times New Roman" w:cs="Times New Roman" w:eastAsia="Times New Roman" w:hAnsi="Times New Roman"/>
          <w:b/>
          <w:bCs/>
          <w:sz w:val="24"/>
          <w:szCs w:val="24"/>
        </w:rPr>
        <w:t xml:space="preserve">2.4 Existing Systems, Frameworks, and Designs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Five existing systems and frameworks are most directly relevant to this study. Each is assessed below both for what it contributes and for where it falls short relative to the specific research problem at hand.</w:t>
      </w:r>
    </w:p>
    <w:p>
      <w:pPr>
        <w:pStyle w:val="Heading3"/>
      </w:pPr>
      <w:r>
        <w:rPr>
          <w:rFonts w:ascii="Times New Roman" w:cs="Times New Roman" w:eastAsia="Times New Roman" w:hAnsi="Times New Roman"/>
          <w:b/>
          <w:bCs/>
          <w:i/>
          <w:iCs/>
          <w:sz w:val="24"/>
          <w:szCs w:val="24"/>
        </w:rPr>
        <w:t xml:space="preserve">2.4.1 RAID Benchmark</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RAID benchmark, introduced by Dugan et al. (2024) at ACL, is the most comprehensive evaluation framework for AI text detection tools to date. It covers eleven language models across eight text domains and eleven adversarial attack types — including synonym substitution, homoglyph insertion, and paragraph-level paraphrasing via the DIPPER model. Every tested detector showed vulnerability under adversarial conditions, with homoglyph attacks causing average accuracy losses of 40.6% across five detectors, though GPTZero proved considerably more resilient at only 0.3% loss under the same attack. Paraphrasing attacks degraded all detectors consistently.</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RAID is genuinely valuable, and this study could not exist without it — the ChatGPT and GPT-4 samples extracted from RAID form the foundation of the dataset constructed here. That said, RAID has two limitations that matter directly for this work. First, it frames detection as a binary human-versus-AI task and does not address attribution. Second, it does not include Grok in its model set. On the question of suitability: RAID's infrastructure is not suitable for the present study as an evaluation benchmark, but it is highly suitable as a data source, which is exactly how it is used.</w:t>
      </w:r>
    </w:p>
    <w:p>
      <w:pPr>
        <w:pStyle w:val="Heading3"/>
      </w:pPr>
      <w:r>
        <w:rPr>
          <w:rFonts w:ascii="Times New Roman" w:cs="Times New Roman" w:eastAsia="Times New Roman" w:hAnsi="Times New Roman"/>
          <w:b/>
          <w:bCs/>
          <w:i/>
          <w:iCs/>
          <w:sz w:val="24"/>
          <w:szCs w:val="24"/>
        </w:rPr>
        <w:t xml:space="preserve">2.4.2 M4 Benchmark</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M4 benchmark (Wang et al., 2024) extended AI text detection to a multi-generator, multi-domain, and multi-lingual setting. Covering ChatGPT, Claude, Bloomz, LLaMA, and Dolly across several languages and domains, M4 represented a meaningful expansion of the evaluation landscape. Its framing, however, remained binary, and Grok was absent from its model set. M4 was assessed as a candidate data source for this study and ruled out: it lacks Claude and Gemini coverage in the format required for stylometric attribution at the token level, and its annotation metadata does not include the domain-stratification structure needed for the balanced experimental design. M4 is suitable for binary multi-lingual detection research. It is not suitable as a data source or evaluation benchmark for this study.</w:t>
      </w:r>
    </w:p>
    <w:p>
      <w:pPr>
        <w:pStyle w:val="Heading3"/>
      </w:pPr>
      <w:r>
        <w:rPr>
          <w:rFonts w:ascii="Times New Roman" w:cs="Times New Roman" w:eastAsia="Times New Roman" w:hAnsi="Times New Roman"/>
          <w:b/>
          <w:bCs/>
          <w:i/>
          <w:iCs/>
          <w:sz w:val="24"/>
          <w:szCs w:val="24"/>
        </w:rPr>
        <w:t xml:space="preserve">2.4.3 DetectGPT and GPTZero</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DetectGPT (Mitchell et al., 2023) is a zero-shot binary detector that exploits the property that LLM-generated text tends to occupy local maxima in the log-probability landscape of the generating model — small perturbations consistently lower its probability, whereas human writing does not show this property. It is conceptually elegant but has a fundamental deployment constraint: it requires access to the log-probability function of the suspected source model, which is not available for any closed commercial API. At scale, this makes DetectGPT unsuitable for institutional deployment.</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GPTZero uses perplexity and burstiness as detection signals and does not require source model access. It proved notably robust under homoglyph attacks in the RAID evaluation, losing only 0.3% accuracy. However, GPTZero is a binary classifier that does not distinguish among model sources, and its design is opaque (it is a commercial product with no published architectural details). Neither DetectGPT nor GPTZero is suitable for inter-model attribution, which requires multi-class probability outputs and interpretable feature importance scores. They are reviewed here for completeness and to establish the binary-detection baseline against which this study's attribution design is distinguished.</w:t>
      </w:r>
    </w:p>
    <w:p>
      <w:pPr>
        <w:pStyle w:val="Heading3"/>
      </w:pPr>
      <w:r>
        <w:rPr>
          <w:rFonts w:ascii="Times New Roman" w:cs="Times New Roman" w:eastAsia="Times New Roman" w:hAnsi="Times New Roman"/>
          <w:b/>
          <w:bCs/>
          <w:i/>
          <w:iCs/>
          <w:sz w:val="24"/>
          <w:szCs w:val="24"/>
        </w:rPr>
        <w:t xml:space="preserve">2.4.4 Stylometric Attribution Frameworks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Argasinski et al. (2025) demonstrated that stylometric features — function word distributions, character n-grams, sentence length statistics, and punctuation patterns — can distinguish among LLM-generated texts even in samples as short as 100 words, using tree-based classifiers. This is the closest existing work to the design proposed in this study. The critical gap: Argasinski et al. (2025) tested on unmodified text only. No rewriting condition was included. Whether the stylometric fingerprints they identified survive a single pass of LLM-based rewriting at 40% or 65% edit intensity is entirely unknown from their work.</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Przystalski et al. (2025) used the StyloMetrix framework for similar purposes, achieving reliable separation of human and LLM-generated short texts using lexical, syntactic, and punctuation features. Again, no rewriting condition was tested, and Grok was absent from the model set. Both studies are assessed as directly relevant to the algorithm design choices in Section 3.6 of this study, but neither constitutes a suitable framework for the present research question as stated.</w:t>
      </w:r>
    </w:p>
    <w:p>
      <w:pPr>
        <w:spacing w:line="240"/>
      </w:pPr>
      <w:r>
        <w:rPr>
          <w:rFonts w:ascii="Times New Roman" w:cs="Times New Roman" w:eastAsia="Times New Roman" w:hAnsi="Times New Roman"/>
          <w:sz w:val="24"/>
          <w:szCs w:val="24"/>
        </w:rPr>
        <w:t xml:space="preserve"/>
      </w:r>
    </w:p>
    <w:p>
      <w:pPr>
        <w:spacing w:after="80" w:before="200" w:line="480" w:lineRule="auto"/>
        <w:jc w:val="center"/>
      </w:pPr>
      <w:r>
        <w:rPr>
          <w:rFonts w:ascii="Times New Roman" w:cs="Times New Roman" w:eastAsia="Times New Roman" w:hAnsi="Times New Roman"/>
          <w:b/>
          <w:bCs/>
          <w:sz w:val="20"/>
          <w:szCs w:val="20"/>
        </w:rPr>
        <w:t xml:space="preserve">Table 2.1: Comparative Assessment of Existing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00"/>
        <w:gridCol w:w="1100"/>
        <w:gridCol w:w="1100"/>
        <w:gridCol w:w="2526"/>
      </w:tblGrid>
      <w:tr>
        <w:tc>
          <w:tcPr>
            <w:tcW w:type="dxa" w:w="20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System/Study</w:t>
            </w:r>
          </w:p>
        </w:tc>
        <w:tc>
          <w:tcPr>
            <w:tcW w:type="dxa" w:w="1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Grok Included?</w:t>
            </w:r>
          </w:p>
        </w:tc>
        <w:tc>
          <w:tcPr>
            <w:tcW w:type="dxa" w:w="11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Attribution?</w:t>
            </w:r>
          </w:p>
        </w:tc>
        <w:tc>
          <w:tcPr>
            <w:tcW w:type="dxa" w:w="11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Rewriting Tested?</w:t>
            </w:r>
          </w:p>
        </w:tc>
        <w:tc>
          <w:tcPr>
            <w:tcW w:type="dxa" w:w="11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Interpretability?</w:t>
            </w:r>
          </w:p>
        </w:tc>
        <w:tc>
          <w:tcPr>
            <w:tcW w:type="dxa" w:w="2526"/>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Suitability for Present Study</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RAID — Dugan et al. (2024)</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Partial (DIPPER)</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5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Data source only — not evaluation benchmark</w:t>
            </w:r>
          </w:p>
        </w:tc>
      </w:tr>
      <w:tr>
        <w:tc>
          <w:tcPr>
            <w:tcW w:type="dxa" w:w="20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M4 — Wang et al. (2024)</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5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Not suitable — missing Claude/Gemini domains</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DetectGPT — Mitchell et al. (2023)</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5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Not suitable — requires source model access</w:t>
            </w:r>
          </w:p>
        </w:tc>
      </w:tr>
      <w:tr>
        <w:tc>
          <w:tcPr>
            <w:tcW w:type="dxa" w:w="20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GPTZero</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5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Not suitable — binary only, opaque design</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Argasinski et al. (2025)</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1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25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Algorithm design reference — not data source</w:t>
            </w:r>
          </w:p>
        </w:tc>
      </w:tr>
      <w:tr>
        <w:tc>
          <w:tcPr>
            <w:tcW w:type="dxa" w:w="200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THIS STUDY</w:t>
            </w:r>
          </w:p>
        </w:tc>
        <w:tc>
          <w:tcPr>
            <w:tcW w:type="dxa" w:w="120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YES</w:t>
            </w:r>
          </w:p>
        </w:tc>
        <w:tc>
          <w:tcPr>
            <w:tcW w:type="dxa" w:w="110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YES</w:t>
            </w:r>
          </w:p>
        </w:tc>
        <w:tc>
          <w:tcPr>
            <w:tcW w:type="dxa" w:w="110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YES — LLM</w:t>
            </w:r>
          </w:p>
        </w:tc>
        <w:tc>
          <w:tcPr>
            <w:tcW w:type="dxa" w:w="110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SHAP</w:t>
            </w:r>
          </w:p>
        </w:tc>
        <w:tc>
          <w:tcPr>
            <w:tcW w:type="dxa" w:w="2526"/>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Designed to close all gaps simultaneously</w:t>
            </w:r>
          </w:p>
        </w:tc>
      </w:tr>
    </w:tbl>
    <w:p>
      <w:pPr>
        <w:spacing w:line="24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most striking observation from Table 2.1 is not any individual limitation — it is the pattern. Every existing system reviewed scores 'No' on at least three of the five criteria. This is not a coincidence or an oversight by individual researchers. It reflects the fact that the four gaps addressed in this study have simply not been prioritised as a combined research question before now. The field has matured along the binary detection axis while the attribution axis, and particularly the attribution-under-rewriting axis, has been left largely unexamined.</w:t>
      </w:r>
    </w:p>
    <w:p>
      <w:pPr>
        <w:pStyle w:val="Heading2"/>
      </w:pPr>
      <w:r>
        <w:rPr>
          <w:rFonts w:ascii="Times New Roman" w:cs="Times New Roman" w:eastAsia="Times New Roman" w:hAnsi="Times New Roman"/>
          <w:b/>
          <w:bCs/>
          <w:sz w:val="24"/>
          <w:szCs w:val="24"/>
        </w:rPr>
        <w:t xml:space="preserve">2.5 Technological Analysis</w:t>
      </w:r>
    </w:p>
    <w:p>
      <w:pPr>
        <w:pStyle w:val="Heading3"/>
      </w:pPr>
      <w:r>
        <w:rPr>
          <w:rFonts w:ascii="Times New Roman" w:cs="Times New Roman" w:eastAsia="Times New Roman" w:hAnsi="Times New Roman"/>
          <w:b/>
          <w:bCs/>
          <w:i/>
          <w:iCs/>
          <w:sz w:val="24"/>
          <w:szCs w:val="24"/>
        </w:rPr>
        <w:t xml:space="preserve">2.5.1 Algorithmic Analysis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Three algorithmic families are relevant to this study: statistical detection algorithms, stylometric attribution algorithms, and ensemble classification methods.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Statistical detection algorithms — DetectGPT's log-probability curvature test, watermarking (Kirchenbauer et al., 2023), and perplexity thresholding — all target the binary human-versus-AI question. They are reviewed here because this study's rewriting evaluation is conceptually analogous to the robustness tests applied to these algorithms in prior work: the question of whether a signal survives perturbation is structurally the same whether the signal is a watermark, a perplexity profile, or a stylometric fingerprint. Krishna et al. (2023) established that DIPPER paraphrasing reduces DetectGPT accuracy from 70.3% to 4.6% — a finding that directly motivated asking the same robustness question in an attribution context. That translation from binary detection robustness to attribution robustness is the core algorithmic contribution of this study.</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Stylometric attribution algorithms operate on extractable, interpretable writing features rather than model-internal statistics. The specific features most reliably discriminating between commercial LLMs, according to Argasinski et al. (2025), include function word frequency distributions, sentence length variance, punctuation density, and passive voice rates. Przystalski et al. (2025) found that syntactic complexity measures — particularly the ratio of subordinate clauses to total sentences — differ significantly across GPT-family models and Claude. This study operationalises eight stylometric features drawn from both papers' findings, selecting those with both established discriminative power and interpretable SHAP scores.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Ensemble classification algorithms are used here specifically because the classification target — four commercial LLMs whose outputs are stylistically close — is a hard multi-class problem with a risk of overfitting on the training distribution. Soft voting ensembles combining XGBoost, Random Forest, and MLP offer complementary inductive biases: XGBoost captures non-linear feature interactions through boosted trees, Random Forest provides diversity through bootstrap sampling and random feature selection, and MLP captures distributional patterns through non-linear transformations of the PCA-reduced semantic embedding. Lundberg and Lee (2017) established that SHAP (SHapley Additive exPlanations) provides theoretically grounded feature importance scores for tree-based models; the TreeExplainer variant is used here on the XGBoost component specifically because it is computationally exact for tree structures, unlike the KernelExplainer required for neural models.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PCA dimensionality reduction applied to the 384-dimensional all-MiniLM-L6-v2 embeddings is an algorithmic necessity rather than a choice. Bishop (2006) formalized the curse of dimensionality: when training observations are sparse relative to feature space dimensionality, classifiers model noise rather than signal. With 960 training instances and 392 features without PCA, the ratio of 2.4:1 falls well below the recommended minimum of 5:1 for reliable generalisation. After PCA reduces the semantic block to approximately 75 components, the combined 83-dimensional feature vector achieves a ratio of 11.6:1 — within the safe operating range for all three ensemble components.</w:t>
      </w:r>
    </w:p>
    <w:p>
      <w:pPr>
        <w:pStyle w:val="Heading3"/>
      </w:pPr>
      <w:r>
        <w:rPr>
          <w:rFonts w:ascii="Times New Roman" w:cs="Times New Roman" w:eastAsia="Times New Roman" w:hAnsi="Times New Roman"/>
          <w:b/>
          <w:bCs/>
          <w:i/>
          <w:iCs/>
          <w:sz w:val="24"/>
          <w:szCs w:val="24"/>
        </w:rPr>
        <w:t xml:space="preserve">2.5.2 Design Analysis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design choices in this study depart from prior attribution work in three specific ways, each motivated by identified limitations in existing designs.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First, the feature design combines stylometric and semantic features rather than using either in isolation. Shu (2025) surveyed attribution methods and found that hybrid approaches consistently outperform single-type feature sets in cross-domain evaluation settings. The rationale is direct: stylometric features capture how sentences are built, while sentence-level semantic embeddings capture what kind of content and framing each model tends to produce. These are genuinely complementary information channels. Whether the combination outperforms either type alone in the specific context of this study — four commercial LLMs across four text domains — is tested empirically in the ablation study rather than assumed from prior findings.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Second, the quality gate design is dual-metric rather than threshold-based on a single measure. Designs in prior rewriting studies typically use Levenshtein distance alone, which can be satisfied by random word shuffling that destroys meaning, or semantic similarity alone, which can be satisfied by trivial edits that leave the surface form nearly unchanged. The pilot study conducted on 23 February 2026 empirically derived cosine similarity thresholds (0.80 for light, 0.597 for heavy) from human coherence ratings independent of metric values, ensuring the gate reflects actual sample quality rather than an arbitrary numerical cutoff.</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Third, the out-of-distribution evaluation design is used rather than a held-out test set from the same distribution. This choice is deliberate. The study's research question is not 'how well does the classifier generalise to unseen original samples' but rather 'how much attribution signal survives rewriting.' Answering the second question requires training on original text and evaluating on rewritten text with no classifier modification. This is the standard OOD robustness evaluation protocol (Hendrycks &amp; Gimpel, 2017; Ovadia et al., 2019) adapted to an attribution context, and it is the only design that produces a directly interpretable measurement of attribution survival.</w:t>
      </w:r>
    </w:p>
    <w:p>
      <w:pPr>
        <w:pStyle w:val="Heading3"/>
      </w:pPr>
      <w:r>
        <w:rPr>
          <w:rFonts w:ascii="Times New Roman" w:cs="Times New Roman" w:eastAsia="Times New Roman" w:hAnsi="Times New Roman"/>
          <w:b/>
          <w:bCs/>
          <w:i/>
          <w:iCs/>
          <w:sz w:val="24"/>
          <w:szCs w:val="24"/>
        </w:rPr>
        <w:t xml:space="preserve">2.5.3 Workflow Analysis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workflow designs of existing detection and attribution systems are compared here against the workflow of the present study.</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RAID's evaluation workflow is linear: collect samples from multiple generators under multiple adversarial conditions, submit to detectors, measure accuracy. This workflow is well suited to benchmarking existing tools but cannot answer questions about the internal feature-level mechanics of why detectors succeed or fail under specific conditions. RAID does not include a feature extraction stage, a classifier training stage, or an interpretability stage. Its workflow is an evaluation pipeline, not a modelling pipeline.</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DetectGPT's workflow is entirely inference-time: take a candidate text, generate perturbations, query the source model's log-probability function for each perturbation, classify based on the curvature of the probability landscape. This workflow requires zero training data and produces a binary output. It has no feature extraction stage and no interpretability mechanism. The workflow is elegant but closed.</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workflow of this study differs from both. It proceeds through six distinct stages: (1) data collection and quality gate filtering, (2) stylometric feature extraction using spaCy, NLTK, and textstat, (3) semantic embedding using all-MiniLM-L6-v2 and PCA reduction, (4) classifier training on original samples via 5-fold stratified cross-validation, (5) OOD robustness evaluation on rewritten samples at two edit levels without retraining, and (6) SHAP feature survival analysis on the XGBoost component. Stages 5 and 6 together constitute the novel contribution of the workflow: no existing attribution pipeline includes both an OOD degradation measurement and a feature-level survival analysis at multiple rewriting intensities.</w:t>
      </w:r>
    </w:p>
    <w:p>
      <w:pPr>
        <w:spacing w:line="240"/>
      </w:pPr>
      <w:r>
        <w:rPr>
          <w:rFonts w:ascii="Times New Roman" w:cs="Times New Roman" w:eastAsia="Times New Roman" w:hAnsi="Times New Roman"/>
          <w:sz w:val="24"/>
          <w:szCs w:val="24"/>
        </w:rPr>
        <w:t xml:space="preserve"/>
      </w:r>
    </w:p>
    <w:p>
      <w:pPr>
        <w:spacing w:after="80" w:before="200" w:line="480" w:lineRule="auto"/>
        <w:jc w:val="center"/>
      </w:pPr>
      <w:r>
        <w:rPr>
          <w:rFonts w:ascii="Times New Roman" w:cs="Times New Roman" w:eastAsia="Times New Roman" w:hAnsi="Times New Roman"/>
          <w:b/>
          <w:bCs/>
          <w:sz w:val="20"/>
          <w:szCs w:val="20"/>
        </w:rPr>
        <w:t xml:space="preserve">Table 2.2: Workflow Comparison — Existing Systems vs This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2926"/>
      </w:tblGrid>
      <w:tr>
        <w:tc>
          <w:tcPr>
            <w:tcW w:type="dxa" w:w="25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Workflow Stage</w:t>
            </w:r>
          </w:p>
        </w:tc>
        <w:tc>
          <w:tcPr>
            <w:tcW w:type="dxa" w:w="1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RAID</w:t>
            </w:r>
          </w:p>
        </w:tc>
        <w:tc>
          <w:tcPr>
            <w:tcW w:type="dxa" w:w="1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DetectGPT</w:t>
            </w:r>
          </w:p>
        </w:tc>
        <w:tc>
          <w:tcPr>
            <w:tcW w:type="dxa" w:w="1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Argasinski (2025)</w:t>
            </w:r>
          </w:p>
        </w:tc>
        <w:tc>
          <w:tcPr>
            <w:tcW w:type="dxa" w:w="2926"/>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center"/>
            </w:pPr>
            <w:r>
              <w:rPr>
                <w:rFonts w:ascii="Times New Roman" w:cs="Times New Roman" w:eastAsia="Times New Roman" w:hAnsi="Times New Roman"/>
                <w:b/>
                <w:bCs/>
                <w:sz w:val="18"/>
                <w:szCs w:val="18"/>
              </w:rPr>
              <w:t xml:space="preserve">This Study</w:t>
            </w:r>
          </w:p>
        </w:tc>
      </w:tr>
      <w:tr>
        <w:tc>
          <w:tcPr>
            <w:tcW w:type="dxa" w:w="2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Data collection with quality control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9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Yes — dual-metric quality gate</w:t>
            </w:r>
          </w:p>
        </w:tc>
      </w:tr>
      <w:tr>
        <w:tc>
          <w:tcPr>
            <w:tcW w:type="dxa" w:w="2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Stylometric feature extraction</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Yes</w:t>
            </w:r>
          </w:p>
        </w:tc>
        <w:tc>
          <w:tcPr>
            <w:tcW w:type="dxa" w:w="29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Yes — 8 features (spaCy, NLTK, textstat)</w:t>
            </w:r>
          </w:p>
        </w:tc>
      </w:tr>
      <w:tr>
        <w:tc>
          <w:tcPr>
            <w:tcW w:type="dxa" w:w="2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Semantic embedding + PCA reduction</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9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Yes — all-MiniLM-L6-v2 → 75 PCA components</w:t>
            </w:r>
          </w:p>
        </w:tc>
      </w:tr>
      <w:tr>
        <w:tc>
          <w:tcPr>
            <w:tcW w:type="dxa" w:w="2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Cross-validated classifier training</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Yes</w:t>
            </w:r>
          </w:p>
        </w:tc>
        <w:tc>
          <w:tcPr>
            <w:tcW w:type="dxa" w:w="29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Yes — 5-fold stratified, 3-model soft voting ensemble</w:t>
            </w:r>
          </w:p>
        </w:tc>
      </w:tr>
      <w:tr>
        <w:tc>
          <w:tcPr>
            <w:tcW w:type="dxa" w:w="2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OOD rewriting robustness evaluation</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9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Yes — two edit levels, no classifier retraining</w:t>
            </w:r>
          </w:p>
        </w:tc>
      </w:tr>
      <w:tr>
        <w:tc>
          <w:tcPr>
            <w:tcW w:type="dxa" w:w="2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Feature survival interpretability (SHAP)</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29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center"/>
            </w:pPr>
            <w:r>
              <w:rPr>
                <w:rFonts w:ascii="Times New Roman" w:cs="Times New Roman" w:eastAsia="Times New Roman" w:hAnsi="Times New Roman"/>
                <w:b w:val="false"/>
                <w:bCs w:val="false"/>
                <w:sz w:val="18"/>
                <w:szCs w:val="18"/>
              </w:rPr>
              <w:t xml:space="preserve">Yes — SHAP TreeExplainer on XGBoost component</w:t>
            </w:r>
          </w:p>
        </w:tc>
      </w:tr>
    </w:tbl>
    <w:p>
      <w:pPr>
        <w:spacing w:line="24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4"/>
          <w:szCs w:val="24"/>
        </w:rPr>
        <w:t xml:space="preserve">2.6 Reflection</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Having reviewed the domain, existing systems, and the technological choices underpinning them, several observations emerge that go beyond what any single paper states explicitly.</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most striking thing about the attribution literature is not any individual paper's limitation — it is the collective direction of attention. Researchers have invested enormous effort in binary detection while treating attribution as an afterthought. From an academic integrity perspective, this ordering is arguably backwards. Knowing that AI was used is the beginning of an investigation, not its conclusion. Knowing which model was used, across multiple submissions, across multiple years, is what builds an evidence-based institutional response. The field has been solving the easier problem while the harder and more useful problem sits largely unaddressed.</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rewriting robustness literature compounds this concern. Krishna et al. (2023) showed that DIPPER paraphrasing reduces binary detection accuracy from 70.3% to 4.6% — a finding that effectively challenged the value proposition of the entire detection industry at the time. Yet five years later, the natural follow-up question — what happens to attribution accuracy under the same pressure — has not been answered. Zhang et al. (2025) extended the robustness analysis to adversarial paraphrasing without answering it. Dugan et al. (2024) included paraphrasing as one of eleven attack types in RAID without asking what it does to per-model attribution confidence. The gap is not hidden or subtle. It is large, obvious, and practically significant. The fact that it remains open reflects a research culture that has been more comfortable evaluating what already exists than building what does not yet exist.</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Grok gap is a separate issue and, in my assessment, a more embarrassing one. Ye et al. (2025) found that classifiers trained on ChatGPT, Claude, and Gemini achieve zero agreement with Grok-generated outputs. This is not a marginal accuracy drop — it is a categorical failure. And yet the benchmark infrastructure that dominates the field (RAID, M4, DAIGT) was built without Grok and has not been updated to include it. Building an attribution system and benchmarking it without Grok in 2025 is analogous to building an email spam filter and forgetting to include one of the four largest spam networks. The contribution of including Grok in this study is not merely additive — it is corrective.</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On the technical side, the choice of all-MiniLM-L6-v2 over raw BERT CLS representations is worth reflecting on explicitly. Reimers and Gurevych (2019) demonstrated that unfinetuned BERT CLS representations perform worse than averaged word2vec embeddings on sentence similarity tasks — a result that was surprising at the time and that has been consistently replicated since. The semantic embedding literature has moved decisively toward contrastively trained SentenceTransformer architectures, yet a number of recent attribution papers continue using raw BERT CLS as their semantic feature. This study uses all-MiniLM-L6-v2 precisely because the semantic representation quality difference is not marginal in the context of attributing stylistically similar text. When the classification target is four models that have converged stylistically, every percentage point of embedding quality matters.</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The SHAP analysis design also reflects a choice that I consider methodologically important and that is not made by default in the attribution literature. Reporting aggregate feature importance without separating stylometric from semantic contributions obscures the practically useful finding. What institutions and system designers need to know is not just that 'combined features work best' but specifically which stylometric features carry attribution signal through rewriting pressure. That is actionable. 'Combined features outperform individual types' is informative but not actionable. Keeping stylometric features outside the PCA transformation and computing their SHAP values individually — rather than folding them into PCA components that carry no direct interpretable meaning — is a deliberate design choice in service of that actionable finding.</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Taken together, the literature reviewed in this chapter establishes a field that is technically sophisticated, methodologically rigorous within its established question set, and collectively neglectful of the specific question that matters most for institutional AI attribution in 2025. This study is designed to address that neglect directly, systematically, and at a scale appropriate for an undergraduate research project with a clear contribution boundary.</w:t>
      </w:r>
    </w:p>
    <w:p>
      <w:pPr>
        <w:pStyle w:val="Heading2"/>
      </w:pPr>
      <w:r>
        <w:rPr>
          <w:rFonts w:ascii="Times New Roman" w:cs="Times New Roman" w:eastAsia="Times New Roman" w:hAnsi="Times New Roman"/>
          <w:b/>
          <w:bCs/>
          <w:sz w:val="24"/>
          <w:szCs w:val="24"/>
        </w:rPr>
        <w:t xml:space="preserve">2.7 Chapter Summary</w:t>
      </w:r>
    </w:p>
    <w:p>
      <w:pPr>
        <w:spacing w:after="200" w:before="0" w:line="480" w:lineRule="auto"/>
        <w:ind w:firstLine="720"/>
        <w:jc w:val="both"/>
      </w:pPr>
      <w:r>
        <w:rPr>
          <w:rFonts w:ascii="Times New Roman" w:cs="Times New Roman" w:eastAsia="Times New Roman" w:hAnsi="Times New Roman"/>
          <w:b w:val="false"/>
          <w:bCs w:val="false"/>
          <w:sz w:val="24"/>
          <w:szCs w:val="24"/>
        </w:rPr>
        <w:t xml:space="preserve">This chapter reviewed five interconnected bodies of literature to build the theoretical and technical foundation for the present study. The domain overview established that AI text detection has matured as a binary classification field while inter-model attribution has been comparatively neglected. The comparative assessment of existing systems — RAID, M4, DetectGPT, GPTZero, and stylometric attribution frameworks — found that no existing system includes Grok, none tests attribution accuracy under rewriting pressure, and none combines stylometric and semantic features with a SHAP survival analysis. The technological analysis examined the algorithmic choices (statistical detection, stylometric attribution, ensemble classification, SHAP, PCA), design choices (hybrid features, dual-metric quality gate, OOD evaluation protocol), and workflow structures (data collection, feature extraction, training, OOD evaluation, interpretability) that distinguish this study from prior work. The reflection section offered a critical personal reading of the literature's collective gaps, arguing that the field has prioritised the easier binary detection problem over the harder and more institutionally valuable attribution problem. Four research gaps were confirmed: the Grok gap, the absence of attribution degradation data, the methodological mismatch between T5-based rewriting tools and actual student behaviour, and the lack of SHAP-based feature survival analysis. Chapter 3 presents the methodology designed to close all four gaps within a single experimental framework.</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48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40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300" w:line="480" w:lineRule="auto"/>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2026-06-28T04:40:11.827Z</dcterms:created>
  <dcterms:modified xsi:type="dcterms:W3CDTF">2026-06-28T04:40:11.839Z</dcterms:modified>
</cp:coreProperties>
</file>

<file path=docProps/custom.xml><?xml version="1.0" encoding="utf-8"?>
<Properties xmlns="http://schemas.openxmlformats.org/officeDocument/2006/custom-properties" xmlns:vt="http://schemas.openxmlformats.org/officeDocument/2006/docPropsVTypes"/>
</file>