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480" w:lineRule="auto"/>
        <w:jc w:val="center"/>
      </w:pPr>
      <w:r>
        <w:rPr>
          <w:rFonts w:ascii="Times New Roman" w:cs="Times New Roman" w:eastAsia="Times New Roman" w:hAnsi="Times New Roman"/>
          <w:b/>
          <w:bCs/>
          <w:caps/>
          <w:sz w:val="28"/>
          <w:szCs w:val="28"/>
        </w:rPr>
        <w:t xml:space="preserve">CHAPTER 2</w:t>
      </w:r>
    </w:p>
    <w:p>
      <w:pPr>
        <w:spacing w:after="720" w:before="0" w:line="480" w:lineRule="auto"/>
        <w:jc w:val="center"/>
      </w:pPr>
      <w:r>
        <w:rPr>
          <w:rFonts w:ascii="Times New Roman" w:cs="Times New Roman" w:eastAsia="Times New Roman" w:hAnsi="Times New Roman"/>
          <w:b/>
          <w:bCs/>
          <w:caps/>
          <w:sz w:val="28"/>
          <w:szCs w:val="28"/>
        </w:rPr>
        <w:t xml:space="preserve">LITERATURE REVIEW</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This chapter reviews five bodies of literature that directly inform the research design: AI-generated text detection, inter-model attribution, rewriting and its effects on detection systems, semantic feature representation, and dimensionality reduction for text classification. Each section identifies the contribution of existing work and, crucially, its limitations relative to the present study. The chapter closes with a structured gap analysis that confirms no single prior work addresses the four gaps this study is designed to close simultaneously.</w:t>
      </w:r>
    </w:p>
    <w:p>
      <w:pPr>
        <w:pStyle w:val="Heading2"/>
        <w:spacing w:after="200" w:before="480" w:line="480" w:lineRule="auto"/>
      </w:pPr>
      <w:r>
        <w:rPr>
          <w:rFonts w:ascii="Times New Roman" w:cs="Times New Roman" w:eastAsia="Times New Roman" w:hAnsi="Times New Roman"/>
          <w:b/>
          <w:bCs/>
          <w:sz w:val="24"/>
          <w:szCs w:val="24"/>
        </w:rPr>
        <w:t xml:space="preserve">2.1 AI-Generated Text Detection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Efforts to detect AI-generated text began in earnest with the public release of GPT-2 in 2019. Solaiman et al. (2019) demonstrated that fine-tuned RoBERTa classifiers trained on GPT-2 output could achieve high within-distribution accuracy, but that this performance collapsed when the target generator changed. That brittleness problem has never been fully solved, and it defines much of what came after.</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Two main detection paradigms have since developed. The first exploits statistical signals inherent in LLM-generated text — particularly low perplexity and high token predictability under the generating model. GPTZero operationalised this intuition early, using perplexity and burstiness as detection signals. Mitchell et al. (2023) formalised the approach in DetectGPT, a zero-shot detector that identifies AI-generated passages by checking whether small perturbations consistently decrease log-probability — a property of LLM output that human writing does not share. The limitation is significant: DetectGPT requires access to the suspected source model for log-probability computation, which is impractical in most institutional settings.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second paradigm uses fine-tuned neural classifiers. RoBERTa-based detectors achieved strong accuracy on clean in-domain samples but proved fragile under distribution shift — new domains, new generators, or any form of rewriting. Kirchenbauer et al. (2023) took a fundamentally different approach with watermarking, embedding detectable statistical tokens into LLM-generated text at generation time. Watermarking is promising for providers who control the pipeline but is useless against models that have not adopted it, which remains the situation across all major commercial systems.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RAID benchmark, introduced by Dugan et al. (2024) at ACL, provided the most systematic robustness evaluation to date. RAID covered eleven LLMs across eight writing domains and eleven adversarial attack types, including synonym substitution, homoglyph injection, and paragraph-level DIPPER paraphrasing. The results were unambiguous: every tested detector showed significant vulnerability to adversarial conditions. Under homoglyph attacks, five detectors averaged a 40.6% accuracy loss. GPTZero was notably more resilient, losing only 0.3% under the same attack. Paraphrasing attacks degraded all detectors consistently. Equally important for the present study, RAID is a binary classification benchmark — it asks whether text is AI-generated, not which AI generated it.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M4 benchmark (Wang et al., 2024) extended multi-domain and multi-lingual evaluation across GPT-based models, Claude, LLaMA, and Bloomz, but similarly framed the task as binary human-versus-AI classification and excluded Grok. Together, RAID and M4 represent the current state of the art in detection evaluation — rigorous, comprehensive, and limited to the binary question. Neither benchmark directly addresses inter-model attribution, and neither includes Grok.</w:t>
      </w:r>
    </w:p>
    <w:p>
      <w:pPr>
        <w:pStyle w:val="Heading2"/>
        <w:spacing w:after="200" w:before="480" w:line="480" w:lineRule="auto"/>
      </w:pPr>
      <w:r>
        <w:rPr>
          <w:rFonts w:ascii="Times New Roman" w:cs="Times New Roman" w:eastAsia="Times New Roman" w:hAnsi="Times New Roman"/>
          <w:b/>
          <w:bCs/>
          <w:sz w:val="24"/>
          <w:szCs w:val="24"/>
        </w:rPr>
        <w:t xml:space="preserve">2.2 Inter-Model Attribution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Attributing AI-generated text to a specific model is a more difficult and more forensically useful problem than detecting that text is AI-generated at all. The stylistic differences between GPT-4 and Gemini are far subtler than the differences between either and a typical undergraduate essay. Models trained on overlapping internet-scale corpora and aligned through similar reinforcement learning from human feedback pipelines have converged in vocabulary distribution, sentence complexity, and argumentative register — a phenomenon Cao et al. (2025) documented as the homogenising effect. As models grow larger and their training data overlaps more substantially, attribution becomes progressively harder, making the choice of feature representation increasingly consequential.</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Stylometric approaches have historically anchored authorship attribution research in computational linguistics, and several recent studies have applied them to the LLM attribution problem. Argasinski et al. (2025) demonstrated that stylometric features — function word distributions, character n-grams, sentence length statistics, and punctuation patterns — can distinguish among LLM-generated texts even in short samples of around 100 words, achieving meaningful multi-class accuracy across seven models. Their study established that LLMs do carry consistent stylometric fingerprints separable from both human writing and from each other, though Grok was not among the seven models evaluated. Przystalski et al. (2025) reached similar conclusions using the StyloMetrix framework, showing that lexical, grammatical, syntactic, and punctuation features extracted by tree-based classifiers reliably separate human and LLM-generated short texts. Both studies framed attribution primarily as a binary human-versus-AI or closed-set inter-model problem on clean, unmodified text.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Padhi et al. (2025) brought a different angle to the attribution problem, studying divergent adoption patterns across commercial LLMs and noting that Grok's usage context — shorter, more conversational and opinion-driven prompts — may generate a distinctive stylometric register compared to the academic-register outputs characteristic of ChatGPT and Claude. This observation supports the hypothesis that Grok may be the most separable of the four commercial models in a stylometric feature space, which the present study tests directly.</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A consistent and practically significant gap runs through the entire inter-model attribution literature: no study has tested attribution accuracy on rewritten text. Every benchmark trains and evaluates on unmodified original outputs. In real institutional deployments, the texts presented to attribution classifiers will frequently have been processed by a second LLM before submission. Whether the fingerprints that make attribution possible in a clean evaluation survive that processing is the central empirical question this study addresses.</w:t>
      </w:r>
    </w:p>
    <w:p>
      <w:pPr>
        <w:pStyle w:val="Heading2"/>
        <w:spacing w:after="200" w:before="480" w:line="480" w:lineRule="auto"/>
      </w:pPr>
      <w:r>
        <w:rPr>
          <w:rFonts w:ascii="Times New Roman" w:cs="Times New Roman" w:eastAsia="Times New Roman" w:hAnsi="Times New Roman"/>
          <w:b/>
          <w:bCs/>
          <w:sz w:val="24"/>
          <w:szCs w:val="24"/>
        </w:rPr>
        <w:t xml:space="preserve">2.3 Rewriting and Its Effects on AI Text Detection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single most consequential finding in the AI text detection literature is that paraphrasing reliably destroys detection accuracy. Krishna et al. (2023) made this concrete with DIPPER, an 11-billion parameter T5-based paraphraser trained on the PAR3 dataset with an explicit diversity control parameter. Under DIPPER paraphrasing, DetectGPT's accuracy dropped from 70.3% to 4.6% at a fixed false positive rate of 1%. The watermarking approach of Kirchenbauer et al. (2023) and the OpenAI text classifier were similarly evaded. Krishna et al. (2023) proposed a retrieval-based defence — comparing incoming texts against a logged database of prior AI generations — that recovers 80% to 97% of paraphrased cases, but only when the detection infrastructure is maintained by the language model provider itself. No institution has this infrastructure.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RAID benchmark confirmed these findings across a wider model and domain set. Paraphrasing attacks consistently ranked among the most damaging adversarial conditions across all evaluated detectors. Zhang et al. (2025) extended the analysis to targeted adversarial paraphrasing, finding that strategic word-level attacks could reduce detection accuracy by 30 to 50 percentage points across multiple classifier types.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Two structural limitations run through all of this work. First, every study uses T5-based paraphrasers or rule-based synonym tools that operate at the word or phrase level. They substitute vocabulary without restructuring sentences or reorganising argumentative flow. By contrast, when a student in 2025 pastes AI-generated text into ChatGPT and prompts it to 'rewrite this in my own style', the output is a structurally varied paragraph-level rewrite. Sentence boundaries shift, rhetorical moves are reordered, and the register of the original is actively transformed. The degradation profile of instruction-following LLM rewriting is qualitatively different from T5 synonym substitution, and the detection literature has not studied it.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Second — and this is the gap most directly motivating the present study — every existing rewriting experiment measures binary detection degradation. The question asked is always whether a system can still identify text as AI-generated after rewriting. The four-class question — can the system still identify which model generated it — goes entirely unaddressed. Attribution classifiers may degrade faster or slower under rewriting than binary detectors, and the stylometric features that carry the most binary signal may not be the same features that carry the most attribution signal. Until this study, there has been no empirical evidence on either point.</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present study addresses both limitations simultaneously: it uses Llama 3.3 70B as the rewriting model, directly reflecting current student rewriting behaviour, and it measures attribution degradation rather than binary detection degradation. This is the first study designed to answer both questions together.</w:t>
      </w:r>
    </w:p>
    <w:p>
      <w:pPr>
        <w:pStyle w:val="Heading2"/>
        <w:spacing w:after="200" w:before="480" w:line="480" w:lineRule="auto"/>
      </w:pPr>
      <w:r>
        <w:rPr>
          <w:rFonts w:ascii="Times New Roman" w:cs="Times New Roman" w:eastAsia="Times New Roman" w:hAnsi="Times New Roman"/>
          <w:b/>
          <w:bCs/>
          <w:sz w:val="24"/>
          <w:szCs w:val="24"/>
        </w:rPr>
        <w:t xml:space="preserve">2.4 Semantic Feature Representation for Text Classification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Choosing the right semantic representation is not a trivial decision. Raw contextual embeddings from BERT (Devlin et al., 2019) are widely used but were never designed for sentence or document-level similarity tasks. The CLS token, which aggregates information during BERT's next-sentence prediction pre-training objective, produces representations that cluster poorly in cosine similarity space when used for general-purpose text comparison. Reimers and Gurevych (2019) demonstrated this quantitatively: unfinetuned BERT CLS representations perform below even averaging word2vec vectors on standard sentence similarity benchmarks (STS-B, SICK-R).</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Sentence-BERT, introduced by Reimers and Gurevych (2019) at EMNLP, addressed this with siamese and triplet network architectures that fine-tune a BERT encoder specifically to produce semantically meaningful sentence embeddings comparable via cosine similarity. Trained on the Stanford NLI corpus and Multi-Genre NLI dataset with a softmax classification objective, and on the STS benchmark with mean squared error against human similarity judgements, SBERT produces an embedding space where cosine distance reliably reflects human semantic equivalence judgements — something the raw CLS representation cannot do.</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all-MiniLM-L6-v2 checkpoint, from the Sentence Transformers library, extends this further by applying the MiniLM knowledge distillation strategy of Wang et al. (2020). Rather than distilling by matching output probabilities, MiniLM transfers the teacher's self-attention distributions in the final layer to a 6-layer, 22-million parameter student. The result is a model that produces 384-dimensional embeddings at approximately 14,000 sentences per second on a standard CPU, while retaining semantic similarity performance within 3 to 5 Spearman correlation points of models five times its size. The model is already embedded in the quality gate pipeline of this study — using the same model for classification feature extraction eliminates redundancy, reduces hardware requirements, and ensures all semantic representations live in a consistent embedding space.</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For inter-model attribution specifically, sentence-level semantic embeddings capture the overall thematic framing and argumentative register of a passage independent of surface word choices. This is genuinely complementary to stylometric features, which capture how sentences are constructed, not what they say. Whether this complementarity produces measurable accuracy gains over either feature type in isolation is one of the four research questions this study tests.</w:t>
      </w:r>
    </w:p>
    <w:p>
      <w:pPr>
        <w:pStyle w:val="Heading2"/>
        <w:spacing w:after="200" w:before="480" w:line="480" w:lineRule="auto"/>
      </w:pPr>
      <w:r>
        <w:rPr>
          <w:rFonts w:ascii="Times New Roman" w:cs="Times New Roman" w:eastAsia="Times New Roman" w:hAnsi="Times New Roman"/>
          <w:b/>
          <w:bCs/>
          <w:sz w:val="24"/>
          <w:szCs w:val="24"/>
        </w:rPr>
        <w:t xml:space="preserve">2.5 Dimensionality Reduction in Feature-Rich Text Classification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Concatenating 8 stylometric features with a 384-dimensional semantic embedding produces a 392-dimensional feature vector per sample. Trained against 1,200 samples in 5-fold cross-validation — 960 training instances per fold — this configuration yields a sample-to-feature ratio of 2.4:1. Bishop (2006) describes the practical consequence: in high-dimensional spaces with sparse training observations, classifiers with sufficient capacity model noise rather than signal, producing inflated training accuracy and degraded held-out performance. This is the curse of dimensionality in its direct applied form, not as an abstract theoretical concern.</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Principal Component Analysis reduces the dimensionality of the 384-dimensional semantic block by identifying the orthogonal directions of maximum variance and projecting all samples onto a lower-dimensional subspace. Retaining components sufficient to explain approximately 95% of cumulative variance yields around 75 components in preliminary testing — a reduction of roughly 80% that preserves the information structure of the embedding space. Applied to the training fold of each cross-validation split (never the test fold), PCA eliminates data leakage. The number of retained components is determined on training data only and documented in the results.</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Feature scaling before PCA is essential and is applied independently to the stylometric and semantic blocks. Stylometric features differ substantially in natural magnitude — sentence count might range from 5 to 80, while all-MiniLM-L6-v2 dimensions are already bounded within the normalised embedding hypersphere. Without standard scaling to zero mean and unit variance, PCA components are dominated by whichever features carry the largest raw variance, which is a magnitude artefact, not a signal. Two independent StandardScalers are fitted on training data only: one for the 8-dimensional stylometric block, one for the PCA-reduced semantic block. This prevents scale differences from distorting the downstream classifier through arithmetic magnitude rather than genuine attribution signal.</w:t>
      </w:r>
    </w:p>
    <w:p>
      <w:pPr>
        <w:spacing w:after="200" w:before="0" w:line="480" w:lineRule="auto"/>
        <w:ind w:firstLine="720"/>
        <w:jc w:val="both"/>
      </w:pPr>
      <w:r>
        <w:rPr>
          <w:rFonts w:ascii="Times New Roman" w:cs="Times New Roman" w:eastAsia="Times New Roman" w:hAnsi="Times New Roman"/>
          <w:b w:val="false"/>
          <w:bCs w:val="false"/>
          <w:i w:val="false"/>
          <w:iCs w:val="false"/>
          <w:sz w:val="24"/>
          <w:szCs w:val="24"/>
        </w:rPr>
        <w:t xml:space="preserve">The final feature vector of approximately 83 dimensions — 8 raw stylometric features plus approximately 75 PCA semantic components — yields a training sample-to-feature ratio of roughly 11.6:1 (960 / 83), which is within the healthy range for XGBoost, Random Forest, and MLP classifiers. An additional design choice follows from the SHAP analysis requirement: the 8 stylometric features are kept outside the PCA transformation and concatenated afterwards in their original form. Mixing them into the PCA would conflate stylometric and semantic contributions within each component, making it impossible to cleanly attribute feature importance to either type in the ablation study. The separation preserves interpretability at no cost to classification performance.</w:t>
      </w:r>
    </w:p>
    <w:p>
      <w:pPr>
        <w:pStyle w:val="Heading2"/>
        <w:spacing w:after="200" w:before="480" w:line="480" w:lineRule="auto"/>
      </w:pPr>
      <w:r>
        <w:rPr>
          <w:rFonts w:ascii="Times New Roman" w:cs="Times New Roman" w:eastAsia="Times New Roman" w:hAnsi="Times New Roman"/>
          <w:b/>
          <w:bCs/>
          <w:sz w:val="24"/>
          <w:szCs w:val="24"/>
        </w:rPr>
        <w:t xml:space="preserve">2.6 Summary of Research Gaps</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The five sections above establish a substantial body of prior work in detection, attribution, rewriting robustness, semantic representation, and dimensionality reduction. What is absent from that body of work is as important as what is present. Four specific gaps emerge that no prior study, individually or in combination, has addressed.</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The first is the Grok gap. RAID, M4, and every attribution study reviewed here was built without Grok. The one study that tested Grok as an unseen model class found that classifiers trained on the other three commercial LLMs achieve zero agreement with Grok-generated text (Ye et al., 2025). This is not a minor omission — it is an architectural failure that renders existing benchmarks structurally incomplete for the 2025 commercial landscape.</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The second gap is the complete absence of attribution degradation data under rewriting. Every rewriting study measures binary detection degradation. No study has measured whether inter-model attribution accuracy — the four-class problem — survives the same rewriting pressure.</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The third gap is methodological: existing rewriting studies use T5-based paraphrasers that do not reflect how students actually rewrite AI-generated text in 2025. Instruction-following LLMs produce structurally varied rewrites that current degradation estimates, derived from word-level synonym substitution tools, do not describe.</w:t>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The fourth gap is the absence of feature-level survival analysis under rewriting. Knowing that accuracy degrades is useful. Knowing which specific features drive and which resist that degradation is actionable for the design of next-generation attribution tools.</w:t>
      </w:r>
    </w:p>
    <w:p>
      <w:pPr>
        <w:spacing w:line="480"/>
      </w:pPr>
      <w:r>
        <w:rPr>
          <w:rFonts w:ascii="Times New Roman" w:cs="Times New Roman" w:eastAsia="Times New Roman" w:hAnsi="Times New Roman"/>
          <w:sz w:val="24"/>
          <w:szCs w:val="24"/>
        </w:rPr>
        <w:t xml:space="preserve"/>
      </w:r>
    </w:p>
    <w:p>
      <w:pPr>
        <w:spacing w:after="160" w:before="240" w:line="480" w:lineRule="auto"/>
        <w:jc w:val="center"/>
      </w:pPr>
      <w:r>
        <w:rPr>
          <w:rFonts w:ascii="Times New Roman" w:cs="Times New Roman" w:eastAsia="Times New Roman" w:hAnsi="Times New Roman"/>
          <w:b/>
          <w:bCs/>
          <w:sz w:val="20"/>
          <w:szCs w:val="20"/>
        </w:rPr>
        <w:t xml:space="preserve">Table 2.1: Summary of Research Gaps Relative to Key Prior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900"/>
        <w:gridCol w:w="900"/>
        <w:gridCol w:w="1200"/>
        <w:gridCol w:w="2326"/>
      </w:tblGrid>
      <w:tr>
        <w:tc>
          <w:tcPr>
            <w:tcW w:type="dxa" w:w="20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Study</w:t>
            </w:r>
          </w:p>
        </w:tc>
        <w:tc>
          <w:tcPr>
            <w:tcW w:type="dxa" w:w="7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Grok?</w:t>
            </w:r>
          </w:p>
        </w:tc>
        <w:tc>
          <w:tcPr>
            <w:tcW w:type="dxa" w:w="9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Rewriting?</w:t>
            </w:r>
          </w:p>
        </w:tc>
        <w:tc>
          <w:tcPr>
            <w:tcW w:type="dxa" w:w="9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Attribution?</w:t>
            </w:r>
          </w:p>
        </w:tc>
        <w:tc>
          <w:tcPr>
            <w:tcW w:type="dxa" w:w="1200"/>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Rewriter Type</w:t>
            </w:r>
          </w:p>
        </w:tc>
        <w:tc>
          <w:tcPr>
            <w:tcW w:type="dxa" w:w="2326"/>
            <w:tcBorders>
              <w:top w:val="single" w:color="999999" w:sz="4"/>
              <w:left w:val="single" w:color="999999" w:sz="4"/>
              <w:bottom w:val="single" w:color="999999" w:sz="4"/>
              <w:right w:val="single" w:color="999999" w:sz="4"/>
            </w:tcBorders>
            <w:shd w:fill="D9E1F2"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6"/>
                <w:szCs w:val="16"/>
              </w:rPr>
              <w:t xml:space="preserve">Gap Remaining</w:t>
            </w:r>
          </w:p>
        </w:tc>
      </w:tr>
      <w:tr>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RAID — Dugan et al. (2024)</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Partial</w:t>
            </w:r>
          </w:p>
        </w:tc>
        <w:tc>
          <w:tcPr>
            <w:tcW w:type="dxa" w:w="9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N/A</w:t>
            </w:r>
          </w:p>
        </w:tc>
        <w:tc>
          <w:tcPr>
            <w:tcW w:type="dxa" w:w="2326"/>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Missing Grok; no attribution</w:t>
            </w:r>
          </w:p>
        </w:tc>
      </w:tr>
      <w:tr>
        <w:tc>
          <w:tcPr>
            <w:tcW w:type="dxa" w:w="20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M4 — Wang et al. (2024)</w:t>
            </w:r>
          </w:p>
        </w:tc>
        <w:tc>
          <w:tcPr>
            <w:tcW w:type="dxa" w:w="7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12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N/A</w:t>
            </w:r>
          </w:p>
        </w:tc>
        <w:tc>
          <w:tcPr>
            <w:tcW w:type="dxa" w:w="2326"/>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Missing Grok and rewriting</w:t>
            </w:r>
          </w:p>
        </w:tc>
      </w:tr>
      <w:tr>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Argasinski et al. (2025)</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Partial</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N/A</w:t>
            </w:r>
          </w:p>
        </w:tc>
        <w:tc>
          <w:tcPr>
            <w:tcW w:type="dxa" w:w="2326"/>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Missing Grok; no rewriting test</w:t>
            </w:r>
          </w:p>
        </w:tc>
      </w:tr>
      <w:tr>
        <w:tc>
          <w:tcPr>
            <w:tcW w:type="dxa" w:w="20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Krishna et al. (2023)</w:t>
            </w:r>
          </w:p>
        </w:tc>
        <w:tc>
          <w:tcPr>
            <w:tcW w:type="dxa" w:w="7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9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Detection only</w:t>
            </w:r>
          </w:p>
        </w:tc>
        <w:tc>
          <w:tcPr>
            <w:tcW w:type="dxa" w:w="12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T5 paraphraser</w:t>
            </w:r>
          </w:p>
        </w:tc>
        <w:tc>
          <w:tcPr>
            <w:tcW w:type="dxa" w:w="2326"/>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 attribution; outdated rewriter</w:t>
            </w:r>
          </w:p>
        </w:tc>
      </w:tr>
      <w:tr>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Zhang et al. (2025)</w:t>
            </w:r>
          </w:p>
        </w:tc>
        <w:tc>
          <w:tcPr>
            <w:tcW w:type="dxa" w:w="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9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9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Detection only</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Adversarial T5</w:t>
            </w:r>
          </w:p>
        </w:tc>
        <w:tc>
          <w:tcPr>
            <w:tcW w:type="dxa" w:w="2326"/>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No attribution; no Grok</w:t>
            </w:r>
          </w:p>
        </w:tc>
      </w:tr>
      <w:tr>
        <w:tc>
          <w:tcPr>
            <w:tcW w:type="dxa" w:w="20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THIS STUDY</w:t>
            </w:r>
          </w:p>
        </w:tc>
        <w:tc>
          <w:tcPr>
            <w:tcW w:type="dxa" w:w="7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YES — First</w:t>
            </w:r>
          </w:p>
        </w:tc>
        <w:tc>
          <w:tcPr>
            <w:tcW w:type="dxa" w:w="9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YES</w:t>
            </w:r>
          </w:p>
        </w:tc>
        <w:tc>
          <w:tcPr>
            <w:tcW w:type="dxa" w:w="9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YES — First</w:t>
            </w:r>
          </w:p>
        </w:tc>
        <w:tc>
          <w:tcPr>
            <w:tcW w:type="dxa" w:w="1200"/>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LLM (Llama 3.3 70B)</w:t>
            </w:r>
          </w:p>
        </w:tc>
        <w:tc>
          <w:tcPr>
            <w:tcW w:type="dxa" w:w="2326"/>
            <w:tcBorders>
              <w:top w:val="single" w:color="999999" w:sz="4"/>
              <w:left w:val="single" w:color="999999" w:sz="4"/>
              <w:bottom w:val="single" w:color="999999" w:sz="4"/>
              <w:right w:val="single" w:color="999999" w:sz="4"/>
            </w:tcBorders>
            <w:shd w:fill="F2F5FB"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6"/>
                <w:szCs w:val="16"/>
              </w:rPr>
              <w:t xml:space="preserve">All four gaps closed simultaneously</w:t>
            </w:r>
          </w:p>
        </w:tc>
      </w:tr>
    </w:tbl>
    <w:p>
      <w:pPr>
        <w:spacing w:line="480"/>
      </w:pPr>
      <w:r>
        <w:rPr>
          <w:rFonts w:ascii="Times New Roman" w:cs="Times New Roman" w:eastAsia="Times New Roman" w:hAnsi="Times New Roman"/>
          <w:sz w:val="24"/>
          <w:szCs w:val="24"/>
        </w:rPr>
        <w:t xml:space="preserve"/>
      </w:r>
    </w:p>
    <w:p>
      <w:pPr>
        <w:spacing w:after="200" w:before="0" w:line="480" w:lineRule="auto"/>
        <w:ind/>
        <w:jc w:val="both"/>
      </w:pPr>
      <w:r>
        <w:rPr>
          <w:rFonts w:ascii="Times New Roman" w:cs="Times New Roman" w:eastAsia="Times New Roman" w:hAnsi="Times New Roman"/>
          <w:b w:val="false"/>
          <w:bCs w:val="false"/>
          <w:i w:val="false"/>
          <w:iCs w:val="false"/>
          <w:sz w:val="24"/>
          <w:szCs w:val="24"/>
        </w:rPr>
        <w:t xml:space="preserve">As Table 2.1 confirms, no single prior study — nor the literature in aggregate — addresses all four gaps. The present study is designed to close all four within a unified experimental framework, using Llama 3.3 70B as the rewriting model, Grok as the fourth model class, out-of-distribution evaluation for attribution degradation measurement, and SHAP-based survival analysis for feature-level interpretation.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2026-06-24T04:42:51.421Z</dcterms:created>
  <dcterms:modified xsi:type="dcterms:W3CDTF">2026-06-24T04:42:51.435Z</dcterms:modified>
</cp:coreProperties>
</file>

<file path=docProps/custom.xml><?xml version="1.0" encoding="utf-8"?>
<Properties xmlns="http://schemas.openxmlformats.org/officeDocument/2006/custom-properties" xmlns:vt="http://schemas.openxmlformats.org/officeDocument/2006/docPropsVTypes"/>
</file>