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lineRule="auto"/>
        <w:jc w:val="center"/>
      </w:pPr>
      <w:r>
        <w:rPr>
          <w:rFonts w:ascii="Times New Roman" w:cs="Times New Roman" w:eastAsia="Times New Roman" w:hAnsi="Times New Roman"/>
          <w:b/>
          <w:bCs/>
          <w:caps/>
          <w:sz w:val="28"/>
          <w:szCs w:val="28"/>
        </w:rPr>
        <w:t xml:space="preserve">CHAPTER 3</w:t>
      </w:r>
    </w:p>
    <w:p>
      <w:pPr>
        <w:spacing w:after="720" w:before="0" w:line="480" w:lineRule="auto"/>
        <w:jc w:val="center"/>
      </w:pPr>
      <w:r>
        <w:rPr>
          <w:rFonts w:ascii="Times New Roman" w:cs="Times New Roman" w:eastAsia="Times New Roman" w:hAnsi="Times New Roman"/>
          <w:b/>
          <w:bCs/>
          <w:caps/>
          <w:sz w:val="28"/>
          <w:szCs w:val="28"/>
        </w:rPr>
        <w:t xml:space="preserve">METHODOLOGY</w:t>
      </w:r>
    </w:p>
    <w:p>
      <w:pPr>
        <w:pStyle w:val="Heading2"/>
        <w:spacing w:after="200" w:before="480" w:line="480" w:lineRule="auto"/>
      </w:pPr>
      <w:r>
        <w:rPr>
          <w:rFonts w:ascii="Times New Roman" w:cs="Times New Roman" w:eastAsia="Times New Roman" w:hAnsi="Times New Roman"/>
          <w:b/>
          <w:bCs/>
          <w:sz w:val="24"/>
          <w:szCs w:val="24"/>
        </w:rPr>
        <w:t xml:space="preserve">3.1 Research Paradigm</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Every research project, whether the researcher acknowledges it or not, sits within a philosophical framework that shapes what is treated as real, what counts as knowledge, and how that knowledge is gathered. Making those choices explicit matters particularly in computational research, where the technical machinery of measurement can create an illusion of philosophical neutrality that does not actually exist. This section states the philosophical position of the present study clearly.</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study adopts a realist ontological position. Stylometric fingerprints — the statistical regularities in sentence structure, vocabulary distribution, punctuation frequency, and syntactic complexity that distinguish one LLM's output from another's — are treated as objective properties of the generated text that exist independently of the researcher's observation. They are measurable, reproducible, and consistent across samples drawn from the same model under the same conditions. This is not a trivial assumption: a constructivist would argue that 'stylometric fingerprint' is a category imposed by the researcher rather than a property of the text itself. The realist position is taken here because the evidence from Argasinski et al. (2025), Przystalski et al. (2025), and the preliminary RAID extraction confirms that these regularities are stable enough to support cross-validated classification at above-chance accuracy.</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Epistemologically, the study is empiricist. Knowledge about attribution accuracy and feature survival is derived entirely from systematic observation and measurement — training a classifier, applying it to new data, computing accuracy, and computing SHAP importance values. No claims are made about the internal mechanisms of the LLMs being studied, which are closed commercial systems whose architecture details are not publicly available. What can be known is what can be measured from outputs alone.</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broader philosophical stance is post-positivist, tilting toward pragmatism where choices had to be made between theoretical purity and practical tractability. A strict positivist would insist that pilot thresholds be derived from a distribution that perfectly matches the target data — which would require collecting target data before setting the quality gate, a circular dependency. The pragmatic resolution was to derive thresholds from a closely analogous Llama-rewriting-Llama scenario, document the limitation explicitly, and plan a calibration refinement as the first production step. This kind of transparent practical compromise is characteristic of post-positivist applied research.</w:t>
      </w:r>
    </w:p>
    <w:p>
      <w:pPr>
        <w:spacing w:line="240"/>
      </w:pPr>
      <w:r>
        <w:rPr>
          <w:rFonts w:ascii="Times New Roman" w:cs="Times New Roman" w:eastAsia="Times New Roman" w:hAnsi="Times New Roman"/>
          <w:sz w:val="24"/>
          <w:szCs w:val="24"/>
        </w:rPr>
        <w:t xml:space="preserve"/>
      </w:r>
    </w:p>
    <w:p>
      <w:pPr>
        <w:spacing w:after="80" w:before="200" w:line="480" w:lineRule="auto"/>
        <w:jc w:val="center"/>
      </w:pPr>
      <w:r>
        <w:rPr>
          <w:rFonts w:ascii="Times New Roman" w:cs="Times New Roman" w:eastAsia="Times New Roman" w:hAnsi="Times New Roman"/>
          <w:b/>
          <w:bCs/>
          <w:sz w:val="20"/>
          <w:szCs w:val="20"/>
        </w:rPr>
        <w:t xml:space="preserve">Table 3.1: Research Paradigm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Dimension</w:t>
            </w:r>
          </w:p>
        </w:tc>
        <w:tc>
          <w:tcPr>
            <w:tcW w:type="dxa" w:w="35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Position Adopted</w:t>
            </w:r>
          </w:p>
        </w:tc>
        <w:tc>
          <w:tcPr>
            <w:tcW w:type="dxa" w:w="3526"/>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Justification</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Ontology</w:t>
            </w:r>
          </w:p>
        </w:tc>
        <w:tc>
          <w:tcPr>
            <w:tcW w:type="dxa" w:w="3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Realist — LLM stylometric fingerprints exist as measurable, objective properties of generated text</w:t>
            </w:r>
          </w:p>
        </w:tc>
        <w:tc>
          <w:tcPr>
            <w:tcW w:type="dxa" w:w="35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Attribution signals are real patterns in data, not constructions of the observer</w:t>
            </w:r>
          </w:p>
        </w:tc>
      </w:tr>
      <w:tr>
        <w:tc>
          <w:tcPr>
            <w:tcW w:type="dxa" w:w="20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Epistemology</w:t>
            </w:r>
          </w:p>
        </w:tc>
        <w:tc>
          <w:tcPr>
            <w:tcW w:type="dxa" w:w="35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Empiricist — knowledge is derived from systematic observation, measurement, and controlled experimentation</w:t>
            </w:r>
          </w:p>
        </w:tc>
        <w:tc>
          <w:tcPr>
            <w:tcW w:type="dxa" w:w="35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Attribution accuracy and feature survival are measured, not inferred from theory alone</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Research Philosophy</w:t>
            </w:r>
          </w:p>
        </w:tc>
        <w:tc>
          <w:tcPr>
            <w:tcW w:type="dxa" w:w="3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Post-positivist / Pragmatist — objective measurement is pursued while acknowledging the limitations of controlled computational experiments</w:t>
            </w:r>
          </w:p>
        </w:tc>
        <w:tc>
          <w:tcPr>
            <w:tcW w:type="dxa" w:w="35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The study measures real phenomena but recognises that pilot-derived thresholds and controlled rewriting conditions are approximations of real-world behaviour</w:t>
            </w:r>
          </w:p>
        </w:tc>
      </w:tr>
      <w:tr>
        <w:tc>
          <w:tcPr>
            <w:tcW w:type="dxa" w:w="20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Axiology</w:t>
            </w:r>
          </w:p>
        </w:tc>
        <w:tc>
          <w:tcPr>
            <w:tcW w:type="dxa" w:w="35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Value-laden but transparent — the study has an explicit defensive motivation (protecting attribution system integrity)</w:t>
            </w:r>
          </w:p>
        </w:tc>
        <w:tc>
          <w:tcPr>
            <w:tcW w:type="dxa" w:w="35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All design choices, thresholds, and limitations are reported with full transparency to allow independent replication</w:t>
            </w:r>
          </w:p>
        </w:tc>
      </w:tr>
    </w:tbl>
    <w:p>
      <w:pPr>
        <w:spacing w:line="240"/>
      </w:pPr>
      <w:r>
        <w:rPr>
          <w:rFonts w:ascii="Times New Roman" w:cs="Times New Roman" w:eastAsia="Times New Roman" w:hAnsi="Times New Roman"/>
          <w:sz w:val="24"/>
          <w:szCs w:val="24"/>
        </w:rPr>
        <w:t xml:space="preserve"/>
      </w:r>
    </w:p>
    <w:p>
      <w:pPr>
        <w:pStyle w:val="Heading2"/>
        <w:spacing w:after="200" w:before="480" w:line="480" w:lineRule="auto"/>
      </w:pPr>
      <w:r>
        <w:rPr>
          <w:rFonts w:ascii="Times New Roman" w:cs="Times New Roman" w:eastAsia="Times New Roman" w:hAnsi="Times New Roman"/>
          <w:b/>
          <w:bCs/>
          <w:sz w:val="24"/>
          <w:szCs w:val="24"/>
        </w:rPr>
        <w:t xml:space="preserve">3.2 Research Approach</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study is primarily deductive in its approach. It begins with established theoretical claims — that LLMs produce measurable stylometric fingerprints (Argasinski et al., 2025), that paraphrasing degrades detection accuracy (Krishna et al., 2023), and that attribution classifiers degrade under distribution shift (Hendrycks &amp; Gimpel, 2017) — and tests whether these hold in the specific and previously untested context of inter-model attribution under LLM-based rewriting. The four research questions are stated in advance, the experimental design is fixed before data collection begins, and the evaluation metrics are specified before results are observed. These are the hallmarks of deductive hypothesis testing.</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That said, the SHAP survival analysis component introduces a genuinely inductive element. While the study predicts that some features will prove more edit-resistant than others — based on the intuition that structural features like comma density are harder to alter through rewriting than vocabulary-level features like TTR — it does not predict which specific features will rank highest or in what order. The SHAP rankings emerge from the data rather than being derived from a prior theoretical ordering. The study is therefore better described as primarily deductive with a structured inductive component at the interpretability stage, which is a common and well-established design in applied machine learning research.</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 purely inductive approach — collecting data first and building theory from whatever patterns emerge — would be unsuitable here. This study has a specific and narrow question. Inductive designs are appropriate when the research territory is genuinely unmapped. Here the territory is partially mapped: we know binary detection degrades under rewriting, we know stylometric features can support attribution, and we know Grok is absent from benchmarks. The study is filling a defined gap, not exploring an undefined space. Deductive design with a fixed evaluation protocol is the appropriate methodological choice.</w:t>
      </w:r>
    </w:p>
    <w:p>
      <w:pPr>
        <w:pStyle w:val="Heading2"/>
        <w:spacing w:after="200" w:before="480" w:line="480" w:lineRule="auto"/>
      </w:pPr>
      <w:r>
        <w:rPr>
          <w:rFonts w:ascii="Times New Roman" w:cs="Times New Roman" w:eastAsia="Times New Roman" w:hAnsi="Times New Roman"/>
          <w:b/>
          <w:bCs/>
          <w:sz w:val="24"/>
          <w:szCs w:val="24"/>
        </w:rPr>
        <w:t xml:space="preserve">3.3 Research Strategy</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research strategy is controlled computational experimentation. Three edit conditions (0%, ~40%, ~65%) are applied to text from four model classes under systematically controlled conditions — same domains, same sample sizes, same prompts across models, same rewriting model, same quality gate. The classifier is trained on one condition and evaluated on the other two without modification. This is a factorial experimental design with one training condition and two test conditions, producing a clean measurement of how much attribution signal survives each level of rewriting pressure.</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strategy differs from a survey strategy (which would gather opinions or existing data without experimental manipulation), a case study strategy (which would examine one model or one rewriting event in depth), and an archival strategy (which would analyse existing datasets without generating new conditions). All three were considered and set aside. Surveys do not produce the kind of quantitative feature-level data that the SHAP analysis requires. Case studies sacrifice generalisability across the four model classes. Archival analysis cannot produce the rewriting conditions needed because no existing dataset contains the same texts under both original and LLM-rewritten conditions with quality gate filtering.</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computational experimental strategy is appropriate because the research question is causal in structure: does rewriting cause attribution accuracy to drop, and if so, which features drive that drop? Answering a causal question requires manipulating the independent variable (rewriting intensity) while controlling everything else (model classes, domains, sample sizes, prompts). The experimental strategy is the only design that achieves this control.</w:t>
      </w:r>
    </w:p>
    <w:p>
      <w:pPr>
        <w:pStyle w:val="Heading2"/>
        <w:spacing w:after="200" w:before="480" w:line="480" w:lineRule="auto"/>
      </w:pPr>
      <w:r>
        <w:rPr>
          <w:rFonts w:ascii="Times New Roman" w:cs="Times New Roman" w:eastAsia="Times New Roman" w:hAnsi="Times New Roman"/>
          <w:b/>
          <w:bCs/>
          <w:sz w:val="24"/>
          <w:szCs w:val="24"/>
        </w:rPr>
        <w:t xml:space="preserve">3.4 Fact Collection Mechanisms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Data is gathered through four distinct mechanisms, each targeting a different component of the total dataset.</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first mechanism is secondary data extraction from the RAID benchmark. ChatGPT and GPT-4 samples — 300 each — are extracted from the publicly available RAID dataset (liamdugan/raid on HuggingFace) using filtering conditions of attack='none' and decoding='greedy' to ensure clean, unmanipulated text. Domain stratification at 75 samples per domain is applied using a fixed random seed of 42. This extraction has been completed. Files are stored locally as chatgpt_300samples.csv and gpt4_300samples.csv.</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second mechanism is primary data generation via commercial APIs. Claude samples will be collected through the Anthropic API using the Claude Haiku model. Gemini samples are currently being collected via the Google Gemini API (gemini-2.5-flash model), with a billing upgrade planned to resolve the rate limiting issues encountered on the free tier. Grok samples will be collected via the xAI API using Grok-2. For all three API-collected models, the same domain-stratified prompts extracted from the RAID samples are submitted directly, ensuring prompt comparability across all four models.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third mechanism is controlled text transformation via Llama 3.3 70B through the Groq API. This is the rewriting stage: each of the 1,200 original samples is submitted to Llama 3.3 70B under the light and heavy instruction prompts defined in Section 3.5.5, producing 2,400 rewritten samples that then pass through the quality gate before being accepted into the dataset.</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fourth mechanism is automated feature extraction applied uniformly across all 3,600 samples. Stylometric features are extracted using spaCy (v3.x, en_core_web_sm pipeline), NLTK, the textstat library, and standard Python string methods. Semantic embeddings are extracted using the SentenceTransformers library with the all-MiniLM-L6-v2 model. These are computational fact collection mechanisms rather than human data collection mechanisms — no human judgement enters the feature extraction process, ensuring full reproducibility.</w:t>
      </w:r>
    </w:p>
    <w:p>
      <w:pPr>
        <w:spacing w:line="240"/>
      </w:pPr>
      <w:r>
        <w:rPr>
          <w:rFonts w:ascii="Times New Roman" w:cs="Times New Roman" w:eastAsia="Times New Roman" w:hAnsi="Times New Roman"/>
          <w:sz w:val="24"/>
          <w:szCs w:val="24"/>
        </w:rPr>
        <w:t xml:space="preserve"/>
      </w:r>
    </w:p>
    <w:p>
      <w:pPr>
        <w:spacing w:after="80" w:before="200" w:line="480" w:lineRule="auto"/>
        <w:jc w:val="center"/>
      </w:pPr>
      <w:r>
        <w:rPr>
          <w:rFonts w:ascii="Times New Roman" w:cs="Times New Roman" w:eastAsia="Times New Roman" w:hAnsi="Times New Roman"/>
          <w:b/>
          <w:bCs/>
          <w:sz w:val="20"/>
          <w:szCs w:val="20"/>
        </w:rPr>
        <w:t xml:space="preserve">Table 3.2: Dataset Collection — Sources, Status, and Mechanisms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3426"/>
      </w:tblGrid>
      <w:tr>
        <w:tc>
          <w:tcPr>
            <w:tcW w:type="dxa" w:w="18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Model</w:t>
            </w:r>
          </w:p>
        </w:tc>
        <w:tc>
          <w:tcPr>
            <w:tcW w:type="dxa" w:w="22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Source</w:t>
            </w:r>
          </w:p>
        </w:tc>
        <w:tc>
          <w:tcPr>
            <w:tcW w:type="dxa" w:w="16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Status</w:t>
            </w:r>
          </w:p>
        </w:tc>
        <w:tc>
          <w:tcPr>
            <w:tcW w:type="dxa" w:w="3426"/>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Notes</w:t>
            </w:r>
          </w:p>
        </w:tc>
      </w:tr>
      <w:tr>
        <w:tc>
          <w:tcPr>
            <w:tcW w:type="dxa" w:w="18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ChatGPT</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RAID Benchmark (liamdugan/raid)</w:t>
            </w:r>
          </w:p>
        </w:tc>
        <w:tc>
          <w:tcPr>
            <w:tcW w:type="dxa" w:w="16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Done — 300 samples</w:t>
            </w:r>
          </w:p>
        </w:tc>
        <w:tc>
          <w:tcPr>
            <w:tcW w:type="dxa" w:w="34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attack=none, decoding=greedy, seed=42. Stored: chatgpt_300samples.csv</w:t>
            </w:r>
          </w:p>
        </w:tc>
      </w:tr>
      <w:tr>
        <w:tc>
          <w:tcPr>
            <w:tcW w:type="dxa" w:w="18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GPT-4</w:t>
            </w:r>
          </w:p>
        </w:tc>
        <w:tc>
          <w:tcPr>
            <w:tcW w:type="dxa" w:w="2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RAID Benchmark</w:t>
            </w:r>
          </w:p>
        </w:tc>
        <w:tc>
          <w:tcPr>
            <w:tcW w:type="dxa" w:w="16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Done — 300 samples</w:t>
            </w:r>
          </w:p>
        </w:tc>
        <w:tc>
          <w:tcPr>
            <w:tcW w:type="dxa" w:w="34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Same filtering conditions. Stored: gpt4_300samples.csv</w:t>
            </w:r>
          </w:p>
        </w:tc>
      </w:tr>
      <w:tr>
        <w:tc>
          <w:tcPr>
            <w:tcW w:type="dxa" w:w="18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Gemini</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Google Gemini API (gemini-2.5-flash)</w:t>
            </w:r>
          </w:p>
        </w:tc>
        <w:tc>
          <w:tcPr>
            <w:tcW w:type="dxa" w:w="16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In Progress</w:t>
            </w:r>
          </w:p>
        </w:tc>
        <w:tc>
          <w:tcPr>
            <w:tcW w:type="dxa" w:w="34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Rate limiting on free tier. Billing upgrade planned. Same domain-stratified prompts as RAID samples.</w:t>
            </w:r>
          </w:p>
        </w:tc>
      </w:tr>
      <w:tr>
        <w:tc>
          <w:tcPr>
            <w:tcW w:type="dxa" w:w="18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Claude</w:t>
            </w:r>
          </w:p>
        </w:tc>
        <w:tc>
          <w:tcPr>
            <w:tcW w:type="dxa" w:w="2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Anthropic API (~$0.20)</w:t>
            </w:r>
          </w:p>
        </w:tc>
        <w:tc>
          <w:tcPr>
            <w:tcW w:type="dxa" w:w="16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Planned</w:t>
            </w:r>
          </w:p>
        </w:tc>
        <w:tc>
          <w:tcPr>
            <w:tcW w:type="dxa" w:w="34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RAID does not contain Claude samples. Official API required. Claude Haiku model.</w:t>
            </w:r>
          </w:p>
        </w:tc>
      </w:tr>
      <w:tr>
        <w:tc>
          <w:tcPr>
            <w:tcW w:type="dxa" w:w="18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Grok</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xAI API (~$0.20)</w:t>
            </w:r>
          </w:p>
        </w:tc>
        <w:tc>
          <w:tcPr>
            <w:tcW w:type="dxa" w:w="16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Planned</w:t>
            </w:r>
          </w:p>
        </w:tc>
        <w:tc>
          <w:tcPr>
            <w:tcW w:type="dxa" w:w="34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Absent from all public benchmarks. Primary novel data contribution. Grok-2 model via xAI API.</w:t>
            </w:r>
          </w:p>
        </w:tc>
      </w:tr>
    </w:tbl>
    <w:p>
      <w:pPr>
        <w:spacing w:line="240"/>
      </w:pPr>
      <w:r>
        <w:rPr>
          <w:rFonts w:ascii="Times New Roman" w:cs="Times New Roman" w:eastAsia="Times New Roman" w:hAnsi="Times New Roman"/>
          <w:sz w:val="24"/>
          <w:szCs w:val="24"/>
        </w:rPr>
        <w:t xml:space="preserve"/>
      </w:r>
    </w:p>
    <w:p>
      <w:pPr>
        <w:pStyle w:val="Heading2"/>
        <w:spacing w:after="200" w:before="480" w:line="480" w:lineRule="auto"/>
      </w:pPr>
      <w:r>
        <w:rPr>
          <w:rFonts w:ascii="Times New Roman" w:cs="Times New Roman" w:eastAsia="Times New Roman" w:hAnsi="Times New Roman"/>
          <w:b/>
          <w:bCs/>
          <w:sz w:val="24"/>
          <w:szCs w:val="24"/>
        </w:rPr>
        <w:t xml:space="preserve">3.5 Methodology Execution Workflow</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Table 3.3 presents the six-phase methodology execution workflow. Each phase is described in the subsections below.</w:t>
      </w:r>
    </w:p>
    <w:p>
      <w:pPr>
        <w:spacing w:line="240"/>
      </w:pPr>
      <w:r>
        <w:rPr>
          <w:rFonts w:ascii="Times New Roman" w:cs="Times New Roman" w:eastAsia="Times New Roman" w:hAnsi="Times New Roman"/>
          <w:sz w:val="24"/>
          <w:szCs w:val="24"/>
        </w:rPr>
        <w:t xml:space="preserve"/>
      </w:r>
    </w:p>
    <w:p>
      <w:pPr>
        <w:spacing w:after="80" w:before="200" w:line="480" w:lineRule="auto"/>
        <w:jc w:val="center"/>
      </w:pPr>
      <w:r>
        <w:rPr>
          <w:rFonts w:ascii="Times New Roman" w:cs="Times New Roman" w:eastAsia="Times New Roman" w:hAnsi="Times New Roman"/>
          <w:b/>
          <w:bCs/>
          <w:sz w:val="20"/>
          <w:szCs w:val="20"/>
        </w:rPr>
        <w:t xml:space="preserve">Table 3.3: Methodology Execution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326"/>
      </w:tblGrid>
      <w:tr>
        <w:tc>
          <w:tcPr>
            <w:tcW w:type="dxa" w:w="5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w:t>
            </w:r>
          </w:p>
        </w:tc>
        <w:tc>
          <w:tcPr>
            <w:tcW w:type="dxa" w:w="22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Phase</w:t>
            </w:r>
          </w:p>
        </w:tc>
        <w:tc>
          <w:tcPr>
            <w:tcW w:type="dxa" w:w="30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Activities Undertaken</w:t>
            </w:r>
          </w:p>
        </w:tc>
        <w:tc>
          <w:tcPr>
            <w:tcW w:type="dxa" w:w="3326"/>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Output / Deliverable</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3.5.1</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Problem Identification</w:t>
            </w:r>
          </w:p>
        </w:tc>
        <w:tc>
          <w:tcPr>
            <w:tcW w:type="dxa" w:w="30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Review of RAID, M4, and attribution literature. Identification of Grok absence, attribution degradation gap, and T5 rewriting mismatch with student behaviour in 2025.</w:t>
            </w:r>
          </w:p>
        </w:tc>
        <w:tc>
          <w:tcPr>
            <w:tcW w:type="dxa" w:w="33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Four research gaps. One main research question and four sub-questions.</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3.5.2</w:t>
            </w:r>
          </w:p>
        </w:tc>
        <w:tc>
          <w:tcPr>
            <w:tcW w:type="dxa" w:w="2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Relevance Justification</w:t>
            </w:r>
          </w:p>
        </w:tc>
        <w:tc>
          <w:tcPr>
            <w:tcW w:type="dxa" w:w="30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Literature review confirming no prior study measures attribution degradation under LLM-based rewriting. Statistical confirmation of Grok's zero-agreement problem (Ye et al., 2025).</w:t>
            </w:r>
          </w:p>
        </w:tc>
        <w:tc>
          <w:tcPr>
            <w:tcW w:type="dxa" w:w="33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Structured gap table. Comparative system assessment (Table 2.1). Confirmation of study novelty.</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3.5.3</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Comparative Analysis and Gap Justification</w:t>
            </w:r>
          </w:p>
        </w:tc>
        <w:tc>
          <w:tcPr>
            <w:tcW w:type="dxa" w:w="30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Comparative assessment of RAID, M4, DetectGPT, GPTZero, and stylometric frameworks. Workflow comparison table produced. Personal reflections on field priorities documented.</w:t>
            </w:r>
          </w:p>
        </w:tc>
        <w:tc>
          <w:tcPr>
            <w:tcW w:type="dxa" w:w="33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Tables 2.1 and 2.2 in Chapter 2. Confirmed research gap across all four dimensions.</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3.5.4</w:t>
            </w:r>
          </w:p>
        </w:tc>
        <w:tc>
          <w:tcPr>
            <w:tcW w:type="dxa" w:w="2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Define and Finalise Objectives</w:t>
            </w:r>
          </w:p>
        </w:tc>
        <w:tc>
          <w:tcPr>
            <w:tcW w:type="dxa" w:w="30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Research aim, main RQ, four sub-questions, and four objectives finalised. Scope boundaries defined including exclusion of commercial humanisation tools and cross-lingual text.</w:t>
            </w:r>
          </w:p>
        </w:tc>
        <w:tc>
          <w:tcPr>
            <w:tcW w:type="dxa" w:w="33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Research objectives 1.7.1–1.7.4. Scope table (Chapter 1). Ethics clearance submitted.</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3.5.5</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Design, Development, and Data Management</w:t>
            </w:r>
          </w:p>
        </w:tc>
        <w:tc>
          <w:tcPr>
            <w:tcW w:type="dxa" w:w="30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Pilot study conducted 23 Feb 2026. Quality gate thresholds derived. Dataset collection from RAID (completed for ChatGPT/GPT-4) and APIs (Gemini in progress, Claude and Grok planned). Feature extraction pipeline designed. PCA ratio analysis. Classifier and ablation design finalised.</w:t>
            </w:r>
          </w:p>
        </w:tc>
        <w:tc>
          <w:tcPr>
            <w:tcW w:type="dxa" w:w="33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chatgpt_300samples.csv and gpt4_300samples.csv (done). Gemini and Grok collection scripts ready. Feature extraction pipeline. 83-dimensional feature vector specification.</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3.5.6</w:t>
            </w:r>
          </w:p>
        </w:tc>
        <w:tc>
          <w:tcPr>
            <w:tcW w:type="dxa" w:w="2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Evaluation and Communication</w:t>
            </w:r>
          </w:p>
        </w:tc>
        <w:tc>
          <w:tcPr>
            <w:tcW w:type="dxa" w:w="30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5-fold stratified CV on original samples. OOD evaluation on both rewriting conditions. Ablation study across 4 configurations. SHAP TreeExplainer survival analysis. Results reported against four RQs.</w:t>
            </w:r>
          </w:p>
        </w:tc>
        <w:tc>
          <w:tcPr>
            <w:tcW w:type="dxa" w:w="33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Macro F1 scores per condition. Confusion matrices. SHAP feature rankings. Thesis chapters 4 and 5.</w:t>
            </w:r>
          </w:p>
        </w:tc>
      </w:tr>
    </w:tbl>
    <w:p>
      <w:pPr>
        <w:spacing w:line="240"/>
      </w:pPr>
      <w:r>
        <w:rPr>
          <w:rFonts w:ascii="Times New Roman" w:cs="Times New Roman" w:eastAsia="Times New Roman" w:hAnsi="Times New Roman"/>
          <w:sz w:val="24"/>
          <w:szCs w:val="24"/>
        </w:rPr>
        <w:t xml:space="preserve"/>
      </w:r>
    </w:p>
    <w:p>
      <w:pPr>
        <w:pStyle w:val="Heading3"/>
        <w:spacing w:after="120" w:before="300" w:line="480" w:lineRule="auto"/>
      </w:pPr>
      <w:r>
        <w:rPr>
          <w:rFonts w:ascii="Times New Roman" w:cs="Times New Roman" w:eastAsia="Times New Roman" w:hAnsi="Times New Roman"/>
          <w:b/>
          <w:bCs/>
          <w:i/>
          <w:iCs/>
          <w:sz w:val="24"/>
          <w:szCs w:val="24"/>
        </w:rPr>
        <w:t xml:space="preserve">3.5.1 Problem Identification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problem was identified through a systematic review of the AI text detection literature conducted between November 2025 and January 2026. RAID (Dugan et al., 2024) and M4 (Wang et al., 2024) were reviewed as the two most comprehensive existing benchmarks. Both frame the detection task as binary and both exclude Grok. The rewriting robustness literature — principally Krishna et al. (2023) and Zhang et al. (2025) — established that binary detection degrades under paraphrasing without ever asking what happens to attribution accuracy under the same pressure. Ye et al. (2025) confirmed that classifiers trained on three commercial LLMs achieve zero agreement with Grok outputs, quantifying the Grok gap explicitly.</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From these observations, four gaps were identified: the absence of Grok from all attribution benchmarks, the absence of attribution degradation measurements under rewriting, the methodological mismatch between T5-based rewriting tools and actual 2025 student behaviour, and the absence of feature-level survival analysis. These four gaps together define a research problem that is specific enough to be addressed in an undergraduate project, significant enough to warrant publication, and practically motivated by real institutional concerns about academic integrity infrastructure.</w:t>
      </w:r>
    </w:p>
    <w:p>
      <w:pPr>
        <w:pStyle w:val="Heading3"/>
        <w:spacing w:after="120" w:before="300" w:line="480" w:lineRule="auto"/>
      </w:pPr>
      <w:r>
        <w:rPr>
          <w:rFonts w:ascii="Times New Roman" w:cs="Times New Roman" w:eastAsia="Times New Roman" w:hAnsi="Times New Roman"/>
          <w:b/>
          <w:bCs/>
          <w:i/>
          <w:iCs/>
          <w:sz w:val="24"/>
          <w:szCs w:val="24"/>
        </w:rPr>
        <w:t xml:space="preserve">3.5.2 Relevance Justification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relevance of this study is justified on two levels. At the technical level, the Grok gap is not a minor omission — it is a categorical failure of existing systems, as Ye et al. (2025) demonstrated. At the practical level, the shift from binary detection to attribution represents a qualitative improvement in what institutions can actually do with AI text analysis results. A binary detector tells an institution that a submission may be AI-generated. An attribution classifier tells it which model was likely used, enabling pattern detection across multiple submissions and more robust evidence chains in misconduct proceedings.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rewriting dimension adds a further layer of practical relevance. If attribution accuracy drops to chance level after a 40% word-level edit, then attribution tools as currently designed have no practical value for any submission that has passed through a second LLM. Quantifying that threshold is arguably more useful for institutional decision-making than any accuracy figure measured on unmodified text.</w:t>
      </w:r>
    </w:p>
    <w:p>
      <w:pPr>
        <w:pStyle w:val="Heading3"/>
        <w:spacing w:after="120" w:before="300" w:line="480" w:lineRule="auto"/>
      </w:pPr>
      <w:r>
        <w:rPr>
          <w:rFonts w:ascii="Times New Roman" w:cs="Times New Roman" w:eastAsia="Times New Roman" w:hAnsi="Times New Roman"/>
          <w:b/>
          <w:bCs/>
          <w:i/>
          <w:iCs/>
          <w:sz w:val="24"/>
          <w:szCs w:val="24"/>
        </w:rPr>
        <w:t xml:space="preserve">3.5.3 Comparative Analysis and Gap Justification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comparative analysis was conducted in Chapter 2 and produced Tables 2.1 and 2.2. Five existing systems were assessed across five criteria: Grok inclusion, multi-class attribution, rewriting robustness testing, interpretability, and workflow completeness. No system scored positively on all five. The pattern was consistent: every system reviewed was designed to answer the binary detection question and was evaluated on clean, unmodified text. The gap is not localised to any single paper or research group — it is structural, reflecting the field's collective prioritisation of binary detection over attribution.</w:t>
      </w:r>
    </w:p>
    <w:p>
      <w:pPr>
        <w:pStyle w:val="Heading3"/>
        <w:spacing w:after="120" w:before="300" w:line="480" w:lineRule="auto"/>
      </w:pPr>
      <w:r>
        <w:rPr>
          <w:rFonts w:ascii="Times New Roman" w:cs="Times New Roman" w:eastAsia="Times New Roman" w:hAnsi="Times New Roman"/>
          <w:b/>
          <w:bCs/>
          <w:i/>
          <w:iCs/>
          <w:sz w:val="24"/>
          <w:szCs w:val="24"/>
        </w:rPr>
        <w:t xml:space="preserve">3.5.4 Define and Finalise Objectives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four research objectives were finalised following the comparative analysis, ensuring that each objective directly addresses one or more of the identified gaps. Objective 1.7.1 (To Identify) targets the feature-level question — which stylometric and semantic features discriminate among the four models. Objective 1.7.2 (To Analyze) targets the degradation question — how attribution accuracy changes under rewriting pressure. Objective 1.7.3 (To Design and Develop) targets the pipeline question — building the complete attribution system from data collection through classification. Objective 1.7.4 (To Evaluate) targets the feature survival question — SHAP-based analysis of which features resist editing.</w:t>
      </w:r>
    </w:p>
    <w:p>
      <w:pPr>
        <w:pStyle w:val="Heading3"/>
        <w:spacing w:after="120" w:before="300" w:line="480" w:lineRule="auto"/>
      </w:pPr>
      <w:r>
        <w:rPr>
          <w:rFonts w:ascii="Times New Roman" w:cs="Times New Roman" w:eastAsia="Times New Roman" w:hAnsi="Times New Roman"/>
          <w:b/>
          <w:bCs/>
          <w:i/>
          <w:iCs/>
          <w:sz w:val="24"/>
          <w:szCs w:val="24"/>
        </w:rPr>
        <w:t xml:space="preserve">3.5.5 Design, Development, and Data Management</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complete pipeline design is documented across the following components.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Rewriting procedure: All 2,400 rewritten samples are generated using Llama 3.3 70B via the Groq API. The light rewriting instruction prompts the model to 'Rewrite the following text in a natural academic tone. Change sentence structures and word choices meaningfully, but preserve all factual content and meaning exactly. Do not add new information.' The heavy rewriting instruction prompts it to 'Completely rephrase the following text. Substantially alter sentence structures, vocabulary, and phrasing throughout the entire passage while preserving the core meaning and maintaining academic coherence. The result should read as if written by a different author.' Both prompts are fixed across all four model classes and both edit conditions.</w:t>
      </w:r>
    </w:p>
    <w:p>
      <w:pPr>
        <w:spacing w:line="240"/>
      </w:pPr>
      <w:r>
        <w:rPr>
          <w:rFonts w:ascii="Times New Roman" w:cs="Times New Roman" w:eastAsia="Times New Roman" w:hAnsi="Times New Roman"/>
          <w:sz w:val="24"/>
          <w:szCs w:val="24"/>
        </w:rPr>
        <w:t xml:space="preserve"/>
      </w:r>
    </w:p>
    <w:p>
      <w:pPr>
        <w:spacing w:after="80" w:before="200" w:line="480" w:lineRule="auto"/>
        <w:jc w:val="center"/>
      </w:pPr>
      <w:r>
        <w:rPr>
          <w:rFonts w:ascii="Times New Roman" w:cs="Times New Roman" w:eastAsia="Times New Roman" w:hAnsi="Times New Roman"/>
          <w:b/>
          <w:bCs/>
          <w:sz w:val="20"/>
          <w:szCs w:val="20"/>
        </w:rPr>
        <w:t xml:space="preserve">Table 3.4: Dual-Metric Quality Gate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26"/>
      </w:tblGrid>
      <w:tr>
        <w:tc>
          <w:tcPr>
            <w:tcW w:type="dxa" w:w="22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Metric</w:t>
            </w:r>
          </w:p>
        </w:tc>
        <w:tc>
          <w:tcPr>
            <w:tcW w:type="dxa" w:w="16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Light (~40%)</w:t>
            </w:r>
          </w:p>
        </w:tc>
        <w:tc>
          <w:tcPr>
            <w:tcW w:type="dxa" w:w="16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Heavy (~65%)</w:t>
            </w:r>
          </w:p>
        </w:tc>
        <w:tc>
          <w:tcPr>
            <w:tcW w:type="dxa" w:w="3626"/>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Computation Method</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Normalised Levenshtein distance</w:t>
            </w:r>
          </w:p>
        </w:tc>
        <w:tc>
          <w:tcPr>
            <w:tcW w:type="dxa" w:w="16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0.30 – 0.50</w:t>
            </w:r>
          </w:p>
        </w:tc>
        <w:tc>
          <w:tcPr>
            <w:tcW w:type="dxa" w:w="16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0.55 – 0.70</w:t>
            </w:r>
          </w:p>
        </w:tc>
        <w:tc>
          <w:tcPr>
            <w:tcW w:type="dxa" w:w="36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edit_distance(tokens_A, tokens_B) / max(len(A), len(B)) on whitespace-tokenised text via python-Levenshtein</w:t>
            </w:r>
          </w:p>
        </w:tc>
      </w:tr>
      <w:tr>
        <w:tc>
          <w:tcPr>
            <w:tcW w:type="dxa" w:w="2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Cosine similarity (pilot-derived threshold)</w:t>
            </w:r>
          </w:p>
        </w:tc>
        <w:tc>
          <w:tcPr>
            <w:tcW w:type="dxa" w:w="16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&gt;= 0.80</w:t>
            </w:r>
          </w:p>
        </w:tc>
        <w:tc>
          <w:tcPr>
            <w:tcW w:type="dxa" w:w="16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&gt;= 0.597</w:t>
            </w:r>
          </w:p>
        </w:tc>
        <w:tc>
          <w:tcPr>
            <w:tcW w:type="dxa" w:w="36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all-MiniLM-L6-v2 SentenceTransformer embeddings, mean pooling over full sample text</w:t>
            </w:r>
          </w:p>
        </w:tc>
      </w:tr>
    </w:tbl>
    <w:p>
      <w:pPr>
        <w:spacing w:line="240"/>
      </w:pPr>
      <w:r>
        <w:rPr>
          <w:rFonts w:ascii="Times New Roman" w:cs="Times New Roman" w:eastAsia="Times New Roman" w:hAnsi="Times New Roman"/>
          <w:sz w:val="24"/>
          <w:szCs w:val="24"/>
        </w:rPr>
        <w:t xml:space="preserve"/>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Each rewritten sample must satisfy both conditions in Table 3.4 simultaneously. Samples failing either condition are regenerated up to three times. After three failures, the sample is replaced from a 50-sample reserve pool constructed using the same collection procedures as the main dataset. All replacements are logged.</w:t>
      </w:r>
    </w:p>
    <w:p>
      <w:pPr>
        <w:spacing w:line="240"/>
      </w:pPr>
      <w:r>
        <w:rPr>
          <w:rFonts w:ascii="Times New Roman" w:cs="Times New Roman" w:eastAsia="Times New Roman" w:hAnsi="Times New Roman"/>
          <w:sz w:val="24"/>
          <w:szCs w:val="24"/>
        </w:rPr>
        <w:t xml:space="preserve"/>
      </w:r>
    </w:p>
    <w:p>
      <w:pPr>
        <w:spacing w:after="80" w:before="200" w:line="480" w:lineRule="auto"/>
        <w:jc w:val="center"/>
      </w:pPr>
      <w:r>
        <w:rPr>
          <w:rFonts w:ascii="Times New Roman" w:cs="Times New Roman" w:eastAsia="Times New Roman" w:hAnsi="Times New Roman"/>
          <w:b/>
          <w:bCs/>
          <w:sz w:val="20"/>
          <w:szCs w:val="20"/>
        </w:rPr>
        <w:t xml:space="preserve">Table 3.5: Stylometric Feature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4826"/>
      </w:tblGrid>
      <w:tr>
        <w:tc>
          <w:tcPr>
            <w:tcW w:type="dxa" w:w="27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Feature</w:t>
            </w:r>
          </w:p>
        </w:tc>
        <w:tc>
          <w:tcPr>
            <w:tcW w:type="dxa" w:w="15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Library</w:t>
            </w:r>
          </w:p>
        </w:tc>
        <w:tc>
          <w:tcPr>
            <w:tcW w:type="dxa" w:w="4826"/>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Attribution Rationale</w:t>
            </w:r>
          </w:p>
        </w:tc>
      </w:tr>
      <w:tr>
        <w:tc>
          <w:tcPr>
            <w:tcW w:type="dxa" w:w="27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Mean sentence length (tokens)</w:t>
            </w:r>
          </w:p>
        </w:tc>
        <w:tc>
          <w:tcPr>
            <w:tcW w:type="dxa" w:w="1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spaCy</w:t>
            </w:r>
          </w:p>
        </w:tc>
        <w:tc>
          <w:tcPr>
            <w:tcW w:type="dxa" w:w="48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LLMs differ in default sentence complexity; GPT-4 tends longer than Claude (Argasinski et al., 2025)</w:t>
            </w:r>
          </w:p>
        </w:tc>
      </w:tr>
      <w:tr>
        <w:tc>
          <w:tcPr>
            <w:tcW w:type="dxa" w:w="27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Sentence length variance</w:t>
            </w:r>
          </w:p>
        </w:tc>
        <w:tc>
          <w:tcPr>
            <w:tcW w:type="dxa" w:w="15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spaCy</w:t>
            </w:r>
          </w:p>
        </w:tc>
        <w:tc>
          <w:tcPr>
            <w:tcW w:type="dxa" w:w="48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Variance captures rhythmic variation — a fingerprint stable across topics but distinct across models</w:t>
            </w:r>
          </w:p>
        </w:tc>
      </w:tr>
      <w:tr>
        <w:tc>
          <w:tcPr>
            <w:tcW w:type="dxa" w:w="27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Type-Token Ratio (TTR)</w:t>
            </w:r>
          </w:p>
        </w:tc>
        <w:tc>
          <w:tcPr>
            <w:tcW w:type="dxa" w:w="1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NLTK</w:t>
            </w:r>
          </w:p>
        </w:tc>
        <w:tc>
          <w:tcPr>
            <w:tcW w:type="dxa" w:w="48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Lexical diversity proxy — varies with model training corpus and vocabulary sampling strategy</w:t>
            </w:r>
          </w:p>
        </w:tc>
      </w:tr>
      <w:tr>
        <w:tc>
          <w:tcPr>
            <w:tcW w:type="dxa" w:w="27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Hedging word frequency</w:t>
            </w:r>
          </w:p>
        </w:tc>
        <w:tc>
          <w:tcPr>
            <w:tcW w:type="dxa" w:w="15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NLTK word list</w:t>
            </w:r>
          </w:p>
        </w:tc>
        <w:tc>
          <w:tcPr>
            <w:tcW w:type="dxa" w:w="48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Claude demonstrates higher epistemic hedging than GPT-family models (Argasinski et al., 2025)</w:t>
            </w:r>
          </w:p>
        </w:tc>
      </w:tr>
      <w:tr>
        <w:tc>
          <w:tcPr>
            <w:tcW w:type="dxa" w:w="27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Passive voice rate</w:t>
            </w:r>
          </w:p>
        </w:tc>
        <w:tc>
          <w:tcPr>
            <w:tcW w:type="dxa" w:w="1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spaCy dependency parse</w:t>
            </w:r>
          </w:p>
        </w:tc>
        <w:tc>
          <w:tcPr>
            <w:tcW w:type="dxa" w:w="48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Academic register preference varies by model RLHF fine-tuning and instruction alignment</w:t>
            </w:r>
          </w:p>
        </w:tc>
      </w:tr>
      <w:tr>
        <w:tc>
          <w:tcPr>
            <w:tcW w:type="dxa" w:w="27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Comma density (per 100 words)</w:t>
            </w:r>
          </w:p>
        </w:tc>
        <w:tc>
          <w:tcPr>
            <w:tcW w:type="dxa" w:w="15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Python str.count()</w:t>
            </w:r>
          </w:p>
        </w:tc>
        <w:tc>
          <w:tcPr>
            <w:tcW w:type="dxa" w:w="48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Punctuation patterns are stable model fingerprints less susceptible to semantic rewriting pressure</w:t>
            </w:r>
          </w:p>
        </w:tc>
      </w:tr>
      <w:tr>
        <w:tc>
          <w:tcPr>
            <w:tcW w:type="dxa" w:w="27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Mean word length (characters)</w:t>
            </w:r>
          </w:p>
        </w:tc>
        <w:tc>
          <w:tcPr>
            <w:tcW w:type="dxa" w:w="1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Python</w:t>
            </w:r>
          </w:p>
        </w:tc>
        <w:tc>
          <w:tcPr>
            <w:tcW w:type="dxa" w:w="48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Vocabulary sophistication level differs between models trained on different corpus distributions</w:t>
            </w:r>
          </w:p>
        </w:tc>
      </w:tr>
      <w:tr>
        <w:tc>
          <w:tcPr>
            <w:tcW w:type="dxa" w:w="27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Flesch-Kincaid readability score</w:t>
            </w:r>
          </w:p>
        </w:tc>
        <w:tc>
          <w:tcPr>
            <w:tcW w:type="dxa" w:w="15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textstat</w:t>
            </w:r>
          </w:p>
        </w:tc>
        <w:tc>
          <w:tcPr>
            <w:tcW w:type="dxa" w:w="48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Composite score sensitive to both sentence and word length — captures model-level register preferences</w:t>
            </w:r>
          </w:p>
        </w:tc>
      </w:tr>
    </w:tbl>
    <w:p>
      <w:pPr>
        <w:spacing w:line="240"/>
      </w:pPr>
      <w:r>
        <w:rPr>
          <w:rFonts w:ascii="Times New Roman" w:cs="Times New Roman" w:eastAsia="Times New Roman" w:hAnsi="Times New Roman"/>
          <w:sz w:val="24"/>
          <w:szCs w:val="24"/>
        </w:rPr>
        <w:t xml:space="preserve"/>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Feature extraction is performed on the text as it would be presented to the classifier in deployment — on the rewritten version for rewritten samples, not on the original. The 384-dimensional all-MiniLM-L6-v2 embedding is extracted using mean token pooling. PCA is applied within each cross-validation fold: fitted on training data only, applied to test data. The number of retained components is determined by a 95% cumulative variance threshold, yielding approximately 75 components in preliminary analysis. Two independent StandardScalers are applied — one to the 8 stylometric features, one to the PCA-reduced semantic block — both fitted on training data only. The final feature vector of approximately 83 dimensions is assembled by concatenating the two scaled blocks.</w:t>
      </w:r>
    </w:p>
    <w:p>
      <w:pPr>
        <w:pStyle w:val="Heading3"/>
        <w:spacing w:after="120" w:before="300" w:line="480" w:lineRule="auto"/>
      </w:pPr>
      <w:r>
        <w:rPr>
          <w:rFonts w:ascii="Times New Roman" w:cs="Times New Roman" w:eastAsia="Times New Roman" w:hAnsi="Times New Roman"/>
          <w:b/>
          <w:bCs/>
          <w:i/>
          <w:iCs/>
          <w:sz w:val="24"/>
          <w:szCs w:val="24"/>
        </w:rPr>
        <w:t xml:space="preserve">3.5.6 Evaluation and Communication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evaluation design uses 5-fold stratified cross-validation on the 1,200 original samples for baseline accuracy, followed by out-of-distribution evaluation on both rewriting conditions using the trained model without modification. The primary metric is macro F1 score, which weights all four model classes equally. Secondary metrics include per-class recall and confusion matrices. The 25% chance baseline for a 4-class problem is the reference point against which degradation severity is judged.</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Four ablation configurations are evaluated as described in Table 3.6 below. XGBoost is held constant as the classifier across configurations 1 through 3 to ensure that any accuracy difference reflects a feature-type effect. Configuration 4 introduces the full soft voting ensemble to measure the additional benefit of multi-classifier diversity.</w:t>
      </w:r>
    </w:p>
    <w:p>
      <w:pPr>
        <w:spacing w:line="240"/>
      </w:pPr>
      <w:r>
        <w:rPr>
          <w:rFonts w:ascii="Times New Roman" w:cs="Times New Roman" w:eastAsia="Times New Roman" w:hAnsi="Times New Roman"/>
          <w:sz w:val="24"/>
          <w:szCs w:val="24"/>
        </w:rPr>
        <w:t xml:space="preserve"/>
      </w:r>
    </w:p>
    <w:p>
      <w:pPr>
        <w:spacing w:after="80" w:before="200" w:line="480" w:lineRule="auto"/>
        <w:jc w:val="center"/>
      </w:pPr>
      <w:r>
        <w:rPr>
          <w:rFonts w:ascii="Times New Roman" w:cs="Times New Roman" w:eastAsia="Times New Roman" w:hAnsi="Times New Roman"/>
          <w:b/>
          <w:bCs/>
          <w:sz w:val="20"/>
          <w:szCs w:val="20"/>
        </w:rPr>
        <w:t xml:space="preserve">Table 3.6: Ablation Study Configurations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2200"/>
        <w:gridCol w:w="1926"/>
      </w:tblGrid>
      <w:tr>
        <w:tc>
          <w:tcPr>
            <w:tcW w:type="dxa" w:w="5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No.</w:t>
            </w:r>
          </w:p>
        </w:tc>
        <w:tc>
          <w:tcPr>
            <w:tcW w:type="dxa" w:w="22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Classifier</w:t>
            </w:r>
          </w:p>
        </w:tc>
        <w:tc>
          <w:tcPr>
            <w:tcW w:type="dxa" w:w="22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Feature Set</w:t>
            </w:r>
          </w:p>
        </w:tc>
        <w:tc>
          <w:tcPr>
            <w:tcW w:type="dxa" w:w="22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What It Isolates</w:t>
            </w:r>
          </w:p>
        </w:tc>
        <w:tc>
          <w:tcPr>
            <w:tcW w:type="dxa" w:w="1926"/>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RQ Addressed</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1</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XGBoost (constant)</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8 stylometric only</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Stylometric signal strength alone</w:t>
            </w:r>
          </w:p>
        </w:tc>
        <w:tc>
          <w:tcPr>
            <w:tcW w:type="dxa" w:w="19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RQ4 baseline</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2</w:t>
            </w:r>
          </w:p>
        </w:tc>
        <w:tc>
          <w:tcPr>
            <w:tcW w:type="dxa" w:w="2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XGBoost (constant)</w:t>
            </w:r>
          </w:p>
        </w:tc>
        <w:tc>
          <w:tcPr>
            <w:tcW w:type="dxa" w:w="2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~75 PCA semantic only</w:t>
            </w:r>
          </w:p>
        </w:tc>
        <w:tc>
          <w:tcPr>
            <w:tcW w:type="dxa" w:w="2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Semantic signal strength alone</w:t>
            </w:r>
          </w:p>
        </w:tc>
        <w:tc>
          <w:tcPr>
            <w:tcW w:type="dxa" w:w="1926"/>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RQ4 baseline</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3</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XGBoost (constant)</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~83 combined (scaled independently)</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Feature-type complementarity, isolating classifier effect</w:t>
            </w:r>
          </w:p>
        </w:tc>
        <w:tc>
          <w:tcPr>
            <w:tcW w:type="dxa" w:w="1926"/>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RQ4 answer</w:t>
            </w:r>
          </w:p>
        </w:tc>
      </w:tr>
      <w:tr>
        <w:tc>
          <w:tcPr>
            <w:tcW w:type="dxa" w:w="500"/>
            <w:tcBorders>
              <w:top w:val="single" w:color="AAAAAA" w:sz="4"/>
              <w:left w:val="single" w:color="AAAAAA" w:sz="4"/>
              <w:bottom w:val="single" w:color="AAAAAA" w:sz="4"/>
              <w:right w:val="single" w:color="AAAAAA" w:sz="4"/>
            </w:tcBorders>
            <w:shd w:fill="C6EFCE"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4 — PRIMARY</w:t>
            </w:r>
          </w:p>
        </w:tc>
        <w:tc>
          <w:tcPr>
            <w:tcW w:type="dxa" w:w="2200"/>
            <w:tcBorders>
              <w:top w:val="single" w:color="AAAAAA" w:sz="4"/>
              <w:left w:val="single" w:color="AAAAAA" w:sz="4"/>
              <w:bottom w:val="single" w:color="AAAAAA" w:sz="4"/>
              <w:right w:val="single" w:color="AAAAAA" w:sz="4"/>
            </w:tcBorders>
            <w:shd w:fill="C6EFCE"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XGBoost + RF + MLP soft vote</w:t>
            </w:r>
          </w:p>
        </w:tc>
        <w:tc>
          <w:tcPr>
            <w:tcW w:type="dxa" w:w="2200"/>
            <w:tcBorders>
              <w:top w:val="single" w:color="AAAAAA" w:sz="4"/>
              <w:left w:val="single" w:color="AAAAAA" w:sz="4"/>
              <w:bottom w:val="single" w:color="AAAAAA" w:sz="4"/>
              <w:right w:val="single" w:color="AAAAAA" w:sz="4"/>
            </w:tcBorders>
            <w:shd w:fill="C6EFCE"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~83 combined (scaled independently)</w:t>
            </w:r>
          </w:p>
        </w:tc>
        <w:tc>
          <w:tcPr>
            <w:tcW w:type="dxa" w:w="2200"/>
            <w:tcBorders>
              <w:top w:val="single" w:color="AAAAAA" w:sz="4"/>
              <w:left w:val="single" w:color="AAAAAA" w:sz="4"/>
              <w:bottom w:val="single" w:color="AAAAAA" w:sz="4"/>
              <w:right w:val="single" w:color="AAAAAA" w:sz="4"/>
            </w:tcBorders>
            <w:shd w:fill="C6EFCE"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Ensemble diversity benefit over single-classifier</w:t>
            </w:r>
          </w:p>
        </w:tc>
        <w:tc>
          <w:tcPr>
            <w:tcW w:type="dxa" w:w="1926"/>
            <w:tcBorders>
              <w:top w:val="single" w:color="AAAAAA" w:sz="4"/>
              <w:left w:val="single" w:color="AAAAAA" w:sz="4"/>
              <w:bottom w:val="single" w:color="AAAAAA" w:sz="4"/>
              <w:right w:val="single" w:color="AAAAAA" w:sz="4"/>
            </w:tcBorders>
            <w:shd w:fill="C6EFCE"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RQ1 and RQ2</w:t>
            </w:r>
          </w:p>
        </w:tc>
      </w:tr>
    </w:tbl>
    <w:p>
      <w:pPr>
        <w:spacing w:line="240"/>
      </w:pPr>
      <w:r>
        <w:rPr>
          <w:rFonts w:ascii="Times New Roman" w:cs="Times New Roman" w:eastAsia="Times New Roman" w:hAnsi="Times New Roman"/>
          <w:sz w:val="24"/>
          <w:szCs w:val="24"/>
        </w:rPr>
        <w:t xml:space="preserve"/>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SHAP TreeExplainer is applied to the XGBoost component of the primary ensemble. Feature importance is computed on the 0% original test fold samples as baseline, then on both rewriting conditions. Stylometric features are reported individually. Semantic PCA components are aggregated into a single importance sum, not interpreted individually, because PCA components carry no direct linguistic meaning. The top three edit-resistant and edit-sensitive stylometric features are identified and interpreted in Chapter 5.</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Findings will be communicated through Chapters 4 and 5 of the thesis, submitted as Interim Submission 02 in June 2026, the complete draft on 18 August 2026, and the final thesis on 01 September 2026. All code, feature extraction scripts, and quality gate implementations will be included as supplementary material.</w:t>
      </w:r>
    </w:p>
    <w:p>
      <w:pPr>
        <w:pStyle w:val="Heading2"/>
        <w:spacing w:after="200" w:before="480" w:line="480" w:lineRule="auto"/>
      </w:pPr>
      <w:r>
        <w:rPr>
          <w:rFonts w:ascii="Times New Roman" w:cs="Times New Roman" w:eastAsia="Times New Roman" w:hAnsi="Times New Roman"/>
          <w:b/>
          <w:bCs/>
          <w:sz w:val="24"/>
          <w:szCs w:val="24"/>
        </w:rPr>
        <w:t xml:space="preserve">3.6 Project Management Methodology</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SCRUM was selected as the project management methodology for this research. Three alternatives were evaluated before this choice was made.</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KANBAN was considered first. KANBAN suits continuous-flow work where tasks arrive unpredictably and priorities shift constantly. Research does involve some unpredictability — API rate limiting, unexpected data quality issues, supervisor feedback cycles — but the overall work structure is not a continuous flow. It has a defined beginning, a sequence of phases that must be completed in order (data collection before feature extraction, feature extraction before training, training before evaluation), and a fixed end date. KANBAN's lack of defined sprints and deliverable boundaries makes it poorly suited to a project with four hard submission deadlines.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PRINCE2 was considered second. PRINCE2 is a heavyweight project management framework designed for large multi-team projects with formal governance structures. It requires stage gates, business cases, and structured escalation paths that are disproportionate to a single-researcher undergraduate project. The overhead of PRINCE2 documentation would consume time better spent on the research itself.</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SCRUM is appropriate for three reasons specific to this project. First, the work naturally divides into time-boxed sprints with defined deliverables — pilot study sprint, data collection sprint, rewriting and extraction sprint, training and evaluation sprint, write-up sprint. Second, SCRUM accommodates supervisor review cycles as sprint retrospectives, integrating feedback into the next sprint's planning rather than treating it as an interruption. Third, SCRUM's emphasis on working deliverables at the end of each sprint aligns well with the interim submission structure — Sprint 1 ends with the Chapter 1–3 draft, Sprint 4 ends with the results, Sprint 6 ends with the final thesis.</w:t>
      </w:r>
    </w:p>
    <w:p>
      <w:pPr>
        <w:pStyle w:val="Heading3"/>
        <w:spacing w:after="120" w:before="300" w:line="480" w:lineRule="auto"/>
      </w:pPr>
      <w:r>
        <w:rPr>
          <w:rFonts w:ascii="Times New Roman" w:cs="Times New Roman" w:eastAsia="Times New Roman" w:hAnsi="Times New Roman"/>
          <w:b/>
          <w:bCs/>
          <w:i/>
          <w:iCs/>
          <w:sz w:val="24"/>
          <w:szCs w:val="24"/>
        </w:rPr>
        <w:t xml:space="preserve">3.6.1 Project Timeline</w:t>
      </w:r>
    </w:p>
    <w:p>
      <w:pPr>
        <w:spacing w:line="240"/>
      </w:pPr>
      <w:r>
        <w:rPr>
          <w:rFonts w:ascii="Times New Roman" w:cs="Times New Roman" w:eastAsia="Times New Roman" w:hAnsi="Times New Roman"/>
          <w:sz w:val="24"/>
          <w:szCs w:val="24"/>
        </w:rPr>
        <w:t xml:space="preserve"/>
      </w:r>
    </w:p>
    <w:p>
      <w:pPr>
        <w:spacing w:after="80" w:before="200" w:line="480" w:lineRule="auto"/>
        <w:jc w:val="center"/>
      </w:pPr>
      <w:r>
        <w:rPr>
          <w:rFonts w:ascii="Times New Roman" w:cs="Times New Roman" w:eastAsia="Times New Roman" w:hAnsi="Times New Roman"/>
          <w:b/>
          <w:bCs/>
          <w:sz w:val="20"/>
          <w:szCs w:val="20"/>
        </w:rPr>
        <w:t xml:space="preserve">Table 3.7: SCRUM-Based Project Timeline — Seven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1563"/>
        <w:gridCol w:w="2563"/>
      </w:tblGrid>
      <w:tr>
        <w:tc>
          <w:tcPr>
            <w:tcW w:type="dxa" w:w="5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Sprint</w:t>
            </w:r>
          </w:p>
        </w:tc>
        <w:tc>
          <w:tcPr>
            <w:tcW w:type="dxa" w:w="22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Phase</w:t>
            </w:r>
          </w:p>
        </w:tc>
        <w:tc>
          <w:tcPr>
            <w:tcW w:type="dxa" w:w="2200"/>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Key Activities</w:t>
            </w:r>
          </w:p>
        </w:tc>
        <w:tc>
          <w:tcPr>
            <w:tcW w:type="dxa" w:w="1563"/>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Duration</w:t>
            </w:r>
          </w:p>
        </w:tc>
        <w:tc>
          <w:tcPr>
            <w:tcW w:type="dxa" w:w="2563"/>
            <w:tcBorders>
              <w:top w:val="single" w:color="AAAAAA" w:sz="4"/>
              <w:left w:val="single" w:color="AAAAAA" w:sz="4"/>
              <w:bottom w:val="single" w:color="AAAAAA" w:sz="4"/>
              <w:right w:val="single" w:color="AAAAAA" w:sz="4"/>
            </w:tcBorders>
            <w:shd w:fill="D9E1F2"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18"/>
                <w:szCs w:val="18"/>
              </w:rPr>
              <w:t xml:space="preserve">Deliverable</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1</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Literature Review and Research Design</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Literature search, gap identification, proposal writing, ethics clearance</w:t>
            </w:r>
          </w:p>
        </w:tc>
        <w:tc>
          <w:tcPr>
            <w:tcW w:type="dxa" w:w="1563"/>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Nov 2025 – Jan 2026</w:t>
            </w:r>
          </w:p>
        </w:tc>
        <w:tc>
          <w:tcPr>
            <w:tcW w:type="dxa" w:w="2563"/>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Research proposal, ethical clearance form, Chapter 2 draft</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2</w:t>
            </w:r>
          </w:p>
        </w:tc>
        <w:tc>
          <w:tcPr>
            <w:tcW w:type="dxa" w:w="2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Pilot Study and Dataset Planning</w:t>
            </w:r>
          </w:p>
        </w:tc>
        <w:tc>
          <w:tcPr>
            <w:tcW w:type="dxa" w:w="2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Pilot rewriting (23 Feb 2026), threshold derivation, RAID extraction, API setup, chatgpt and gpt4 samples collected</w:t>
            </w:r>
          </w:p>
        </w:tc>
        <w:tc>
          <w:tcPr>
            <w:tcW w:type="dxa" w:w="1563"/>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Feb 2026 – Mar 2026</w:t>
            </w:r>
          </w:p>
        </w:tc>
        <w:tc>
          <w:tcPr>
            <w:tcW w:type="dxa" w:w="2563"/>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Pilot results, quality gate thresholds, chatgpt_300samples.csv, gpt4_300samples.csv</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3</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Full Dataset Collection</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Gemini API collection (billing upgrade), Claude API collection, Grok API collection, threshold calibration on target model outputs</w:t>
            </w:r>
          </w:p>
        </w:tc>
        <w:tc>
          <w:tcPr>
            <w:tcW w:type="dxa" w:w="1563"/>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Apr 2026 – May 2026</w:t>
            </w:r>
          </w:p>
        </w:tc>
        <w:tc>
          <w:tcPr>
            <w:tcW w:type="dxa" w:w="2563"/>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All four model CSV files. Calibrated quality gate thresholds.</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4</w:t>
            </w:r>
          </w:p>
        </w:tc>
        <w:tc>
          <w:tcPr>
            <w:tcW w:type="dxa" w:w="2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Rewriting and Feature Extraction</w:t>
            </w:r>
          </w:p>
        </w:tc>
        <w:tc>
          <w:tcPr>
            <w:tcW w:type="dxa" w:w="2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LLM-based rewriting via Llama 3.3 70B (Groq API), quality gate filtering, stylometric extraction, SentenceTransformer embeddings, PCA fitting</w:t>
            </w:r>
          </w:p>
        </w:tc>
        <w:tc>
          <w:tcPr>
            <w:tcW w:type="dxa" w:w="1563"/>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May 2026 – Jun 2026</w:t>
            </w:r>
          </w:p>
        </w:tc>
        <w:tc>
          <w:tcPr>
            <w:tcW w:type="dxa" w:w="2563"/>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2,400 rewritten samples passing quality gate. 83-dimensional feature matrix for all 3,600 samples.</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5</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Model Training and OOD Evaluation</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5-fold CV training on 0% condition, ablation configurations 1–3, primary ensemble OOD evaluation on 40% and 65% conditions</w:t>
            </w:r>
          </w:p>
        </w:tc>
        <w:tc>
          <w:tcPr>
            <w:tcW w:type="dxa" w:w="1563"/>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Jun 2026 – Jul 2026</w:t>
            </w:r>
          </w:p>
        </w:tc>
        <w:tc>
          <w:tcPr>
            <w:tcW w:type="dxa" w:w="2563"/>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Baseline F1 scores, OOD F1 scores, ablation results, confusion matrices</w:t>
            </w:r>
          </w:p>
        </w:tc>
      </w:tr>
      <w:tr>
        <w:tc>
          <w:tcPr>
            <w:tcW w:type="dxa" w:w="5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6</w:t>
            </w:r>
          </w:p>
        </w:tc>
        <w:tc>
          <w:tcPr>
            <w:tcW w:type="dxa" w:w="2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SHAP Analysis and Write-Up</w:t>
            </w:r>
          </w:p>
        </w:tc>
        <w:tc>
          <w:tcPr>
            <w:tcW w:type="dxa" w:w="2200"/>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SHAP TreeExplainer on XGBoost component, feature survival rankings, thesis Chapters 4 and 5 writing, supervisor review cycles</w:t>
            </w:r>
          </w:p>
        </w:tc>
        <w:tc>
          <w:tcPr>
            <w:tcW w:type="dxa" w:w="1563"/>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Jul 2026 – Aug 2026</w:t>
            </w:r>
          </w:p>
        </w:tc>
        <w:tc>
          <w:tcPr>
            <w:tcW w:type="dxa" w:w="2563"/>
            <w:tcBorders>
              <w:top w:val="single" w:color="AAAAAA" w:sz="4"/>
              <w:left w:val="single" w:color="AAAAAA" w:sz="4"/>
              <w:bottom w:val="single" w:color="AAAAAA" w:sz="4"/>
              <w:right w:val="single" w:color="AAAAAA" w:sz="4"/>
            </w:tcBorders>
            <w:shd w:fill="F2F5FB"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SHAP survival rankings. Complete thesis draft. Interim Submission 02.</w:t>
            </w:r>
          </w:p>
        </w:tc>
      </w:tr>
      <w:tr>
        <w:tc>
          <w:tcPr>
            <w:tcW w:type="dxa" w:w="5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7</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Final Revision and Submission</w:t>
            </w:r>
          </w:p>
        </w:tc>
        <w:tc>
          <w:tcPr>
            <w:tcW w:type="dxa" w:w="220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Supervisor feedback integration, proofreading, final formatting, viva preparation</w:t>
            </w:r>
          </w:p>
        </w:tc>
        <w:tc>
          <w:tcPr>
            <w:tcW w:type="dxa" w:w="1563"/>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Aug – Sep 2026</w:t>
            </w:r>
          </w:p>
        </w:tc>
        <w:tc>
          <w:tcPr>
            <w:tcW w:type="dxa" w:w="2563"/>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18"/>
                <w:szCs w:val="18"/>
              </w:rPr>
              <w:t xml:space="preserve">Final thesis submission by 01 Sep 2026. Viva-ready presentation.</w:t>
            </w:r>
          </w:p>
        </w:tc>
      </w:tr>
    </w:tbl>
    <w:p>
      <w:pPr>
        <w:spacing w:line="240"/>
      </w:pPr>
      <w:r>
        <w:rPr>
          <w:rFonts w:ascii="Times New Roman" w:cs="Times New Roman" w:eastAsia="Times New Roman" w:hAnsi="Times New Roman"/>
          <w:sz w:val="24"/>
          <w:szCs w:val="24"/>
        </w:rPr>
        <w:t xml:space="preserve"/>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Each sprint is structured with a planning session at the start (reviewing the previous sprint's output and defining the current sprint's tasks), daily self-check-ins to track progress against the sprint goal, and a review at the end to assess what was completed against what was planned. Supervisor meetings serve as sprint reviews, and the action items from each meeting become the backlog items for the following sprint. The timeline builds in one week of buffer per sprint to absorb unexpected delays — API outages, rate limiting, supervisor availability gaps — without cascading into subsequent phases.</w:t>
      </w:r>
    </w:p>
    <w:p>
      <w:pPr>
        <w:pStyle w:val="Heading3"/>
        <w:spacing w:after="120" w:before="300" w:line="480" w:lineRule="auto"/>
      </w:pPr>
      <w:r>
        <w:rPr>
          <w:rFonts w:ascii="Times New Roman" w:cs="Times New Roman" w:eastAsia="Times New Roman" w:hAnsi="Times New Roman"/>
          <w:b/>
          <w:bCs/>
          <w:i/>
          <w:iCs/>
          <w:sz w:val="24"/>
          <w:szCs w:val="24"/>
        </w:rPr>
        <w:t xml:space="preserve">3.6.2 Ethical Considerations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All data used in this study is either publicly available under an open licence or generated by the researcher using legitimate API access under each provider's terms of service. The RAID benchmark (liamdugan/raid on HuggingFace) is released for academic research use. Claude, Gemini, and Grok samples are collected through official APIs under terms of service that permit academic research use. No human participant data is collected or processed at any stage. The NSBM Faculty of Computing Research Ethics Committee application has been submitted and documents this position formally.</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rewriting procedure uses Llama 3.3 70B to simulate behaviour that students already perform using commercially available tools. This study does not introduce a new adversarial capability — it measures and documents an existing one. The stated purpose is explicitly defensive: identifying which attribution features are most vulnerable to rewriting pressure is intended to guide the design of more robust future attribution systems, not to provide a recipe for evading them. The features most at risk — vocabulary-level metrics like TTR — are already documented in the open forensic stylometry literature and are not novel attack vectors.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Dual-use risk is acknowledged and addressed through publication framing. The findings will be reported in terms of what institutions and system designers should prioritise in next-generation attribution tools, not in terms of what editing strategies most effectively evade detection. This framing is not cosmetic — it reflects the genuine research motivation, which emerged from observing that no existing study had told institutions whether their attribution tools remain meaningful after a single rewriting pass.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All API keys and credentials are stored as local environment variables on the researcher's device and are excluded from all code files, supplementary materials, and version control repositories. Raw sample text is stored locally and will not be uploaded to any public or cloud platform. De-identified sample datasets — without API metadata that could be used to reconstruct API access credentials — will be made available upon project completion in support of open science principles.</w:t>
      </w:r>
    </w:p>
    <w:p>
      <w:pPr>
        <w:pStyle w:val="Heading2"/>
        <w:spacing w:after="200" w:before="480" w:line="480" w:lineRule="auto"/>
      </w:pPr>
      <w:r>
        <w:rPr>
          <w:rFonts w:ascii="Times New Roman" w:cs="Times New Roman" w:eastAsia="Times New Roman" w:hAnsi="Times New Roman"/>
          <w:b/>
          <w:bCs/>
          <w:sz w:val="24"/>
          <w:szCs w:val="24"/>
        </w:rPr>
        <w:t xml:space="preserve">3.7 Chapter Summary</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chapter documented the complete research methodology across six dimensions. The research paradigm is post-positivist with a realist ontology and empiricist epistemology, adopting a pragmatic stance where theoretical purity conflicts with practical tractability. The research approach is primarily deductive — testing specific theoretical claims about attribution degradation under rewriting — with a structured inductive component at the SHAP feature survival analysis stage. The research strategy is controlled computational experimentation, manipulating edit intensity while controlling model classes, domains, sample sizes, prompts, and evaluation protocol. Fact collection mechanisms span secondary data extraction from RAID, primary data generation via three commercial APIs, controlled text transformation via Llama 3.3 70B, and automated feature extraction via spaCy, NLTK, textstat, and SentenceTransformers.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methodology execution workflow was presented across six phases: problem identification, relevance justification, comparative analysis and gap justification, objective finalisation, design and development, and evaluation and communication. The quality gate specification, stylometric feature set, ablation study design, and SHAP analysis structure were each documented with full technical detail. SCRUM was selected as the project management methodology and justified against KANBAN and PRINCE2 alternatives, with a seven-sprint timeline mapped to the four submission deadlines. Ethical considerations were addressed comprehensively, covering data sources, dual-use risk, publication framing, credential management, and open science commitments. Chapter 4 will present the results of the experiments described here.</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before="0" w:line="480" w:lineRule="auto"/>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480" w:lineRule="auto"/>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400" w:line="48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300" w:line="480" w:lineRule="auto"/>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2026-06-28T04:51:54.097Z</dcterms:created>
  <dcterms:modified xsi:type="dcterms:W3CDTF">2026-06-28T04:51:54.113Z</dcterms:modified>
</cp:coreProperties>
</file>

<file path=docProps/custom.xml><?xml version="1.0" encoding="utf-8"?>
<Properties xmlns="http://schemas.openxmlformats.org/officeDocument/2006/custom-properties" xmlns:vt="http://schemas.openxmlformats.org/officeDocument/2006/docPropsVTypes"/>
</file>