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480" w:lineRule="auto"/>
        <w:jc w:val="center"/>
      </w:pPr>
      <w:r>
        <w:rPr>
          <w:rFonts w:ascii="Times New Roman" w:cs="Times New Roman" w:eastAsia="Times New Roman" w:hAnsi="Times New Roman"/>
          <w:b/>
          <w:bCs/>
          <w:caps/>
          <w:sz w:val="28"/>
          <w:szCs w:val="28"/>
        </w:rPr>
        <w:t xml:space="preserve">CHAPTER 3</w:t>
      </w:r>
    </w:p>
    <w:p>
      <w:pPr>
        <w:spacing w:after="720" w:before="0" w:line="480" w:lineRule="auto"/>
        <w:jc w:val="center"/>
      </w:pPr>
      <w:r>
        <w:rPr>
          <w:rFonts w:ascii="Times New Roman" w:cs="Times New Roman" w:eastAsia="Times New Roman" w:hAnsi="Times New Roman"/>
          <w:b/>
          <w:bCs/>
          <w:caps/>
          <w:sz w:val="28"/>
          <w:szCs w:val="28"/>
        </w:rPr>
        <w:t xml:space="preserve">METHODOLOGY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chapter describes the complete research methodology. It covers the overall research design, dataset construction and the data source adjustments made after discovering the limitations of the RAID benchmark, the pilot study conducted on 23 February 2026 and its results, the LLM-based rewriting procedure, the quality gate specification, feature extraction, classifier design, out-of-distribution evaluation protocol, ablation study structure, SHAP feature survival analysis, and ethical considerations. The chapter documents the methodology as both planned and, where applicable, as currently implemented.</w:t>
      </w:r>
    </w:p>
    <w:p>
      <w:pPr>
        <w:pStyle w:val="Heading2"/>
        <w:spacing w:after="200" w:before="480" w:line="480" w:lineRule="auto"/>
      </w:pPr>
      <w:r>
        <w:rPr>
          <w:rFonts w:ascii="Times New Roman" w:cs="Times New Roman" w:eastAsia="Times New Roman" w:hAnsi="Times New Roman"/>
          <w:b/>
          <w:bCs/>
          <w:sz w:val="24"/>
          <w:szCs w:val="24"/>
        </w:rPr>
        <w:t xml:space="preserve">3.1 Research Design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study employs a quantitative experimental design with three between-subject edit conditions — 0% (original), approximately 40% word-level edit (light rewrite), and approximately 65% word-level edit (heavy rewrite) — and four within-subject model classes (ChatGPT, Claude, Gemini, and Grok). The core architectural decision is that the attribution classifier is trained exclusively on the 0% original condition and evaluated on the two rewritten conditions without retraining. This is a standard out-of-distribution robustness protocol: the class labels remain constant across conditions while the input distribution changes, and the gap between in-distribution and out-of-distribution accuracy directly measures how much attribution signal survives rewriting pressure.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primary evaluation metric is macro F1 score, which weights all four model classes equally and accounts for any class imbalance that emerges after quality gate filtering. Per-model recall and confusion matrices are reported as secondary metrics to identify whether particular models are more or less vulnerable to attribution erasure under rewriting. The chance-level baseline for a 4-class problem is 25% macro F1, and any drop below that threshold at either rewriting level constitutes a finding that attribution has been effectively destroyed.</w:t>
      </w:r>
    </w:p>
    <w:p>
      <w:pPr>
        <w:pStyle w:val="Heading2"/>
        <w:spacing w:after="200" w:before="480" w:line="480" w:lineRule="auto"/>
      </w:pPr>
      <w:r>
        <w:rPr>
          <w:rFonts w:ascii="Times New Roman" w:cs="Times New Roman" w:eastAsia="Times New Roman" w:hAnsi="Times New Roman"/>
          <w:b/>
          <w:bCs/>
          <w:sz w:val="24"/>
          <w:szCs w:val="24"/>
        </w:rPr>
        <w:t xml:space="preserve">3.2 Dataset Construction</w:t>
      </w:r>
    </w:p>
    <w:p>
      <w:pPr>
        <w:pStyle w:val="Heading3"/>
        <w:spacing w:after="120" w:before="300" w:line="480" w:lineRule="auto"/>
      </w:pPr>
      <w:r>
        <w:rPr>
          <w:rFonts w:ascii="Times New Roman" w:cs="Times New Roman" w:eastAsia="Times New Roman" w:hAnsi="Times New Roman"/>
          <w:b/>
          <w:bCs/>
          <w:i/>
          <w:iCs/>
          <w:sz w:val="24"/>
          <w:szCs w:val="24"/>
        </w:rPr>
        <w:t xml:space="preserve">3.2.1 Sample Targets and Current Collection Status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study targets 3,600 samples in total — 300 per model across three edit conditions, with domain stratification maintained throughout. Table 3.1 presents the sample targets alongside the actual data source for each model and current collection status at the time of this writing.</w:t>
      </w:r>
    </w:p>
    <w:p>
      <w:pPr>
        <w:spacing w:line="480"/>
      </w:pPr>
      <w:r>
        <w:rPr>
          <w:rFonts w:ascii="Times New Roman" w:cs="Times New Roman" w:eastAsia="Times New Roman" w:hAnsi="Times New Roman"/>
          <w:sz w:val="24"/>
          <w:szCs w:val="24"/>
        </w:rPr>
        <w:t xml:space="preserve"/>
      </w:r>
    </w:p>
    <w:p>
      <w:pPr>
        <w:spacing w:after="160" w:before="240" w:line="480" w:lineRule="auto"/>
        <w:jc w:val="center"/>
      </w:pPr>
      <w:r>
        <w:rPr>
          <w:rFonts w:ascii="Times New Roman" w:cs="Times New Roman" w:eastAsia="Times New Roman" w:hAnsi="Times New Roman"/>
          <w:b/>
          <w:bCs/>
          <w:sz w:val="20"/>
          <w:szCs w:val="20"/>
        </w:rPr>
        <w:t xml:space="preserve">Table 3.1: Sample Targets, Data Sources, and Current Collection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gridCol w:w="1200"/>
        <w:gridCol w:w="2026"/>
      </w:tblGrid>
      <w:tr>
        <w:tc>
          <w:tcPr>
            <w:tcW w:type="dxa" w:w="20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Model</w:t>
            </w:r>
          </w:p>
        </w:tc>
        <w:tc>
          <w:tcPr>
            <w:tcW w:type="dxa" w:w="14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Data Source</w:t>
            </w:r>
          </w:p>
        </w:tc>
        <w:tc>
          <w:tcPr>
            <w:tcW w:type="dxa" w:w="12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0% Original</w:t>
            </w:r>
          </w:p>
        </w:tc>
        <w:tc>
          <w:tcPr>
            <w:tcW w:type="dxa" w:w="12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~40% Light</w:t>
            </w:r>
          </w:p>
        </w:tc>
        <w:tc>
          <w:tcPr>
            <w:tcW w:type="dxa" w:w="12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~65% Heavy</w:t>
            </w:r>
          </w:p>
        </w:tc>
        <w:tc>
          <w:tcPr>
            <w:tcW w:type="dxa" w:w="2026"/>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Model Total</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ChatGPT (GPT-3.5/4)</w:t>
            </w:r>
          </w:p>
        </w:tc>
        <w:tc>
          <w:tcPr>
            <w:tcW w:type="dxa" w:w="14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RAID Benchmark ✓ Done</w:t>
            </w:r>
          </w:p>
        </w:tc>
        <w:tc>
          <w:tcPr>
            <w:tcW w:type="dxa" w:w="12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2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2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20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900</w:t>
            </w:r>
          </w:p>
        </w:tc>
      </w:tr>
      <w:tr>
        <w:tc>
          <w:tcPr>
            <w:tcW w:type="dxa" w:w="20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Claude (Anthropic)</w:t>
            </w:r>
          </w:p>
        </w:tc>
        <w:tc>
          <w:tcPr>
            <w:tcW w:type="dxa" w:w="14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Anthropic API (Planned)</w:t>
            </w:r>
          </w:p>
        </w:tc>
        <w:tc>
          <w:tcPr>
            <w:tcW w:type="dxa" w:w="12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2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2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20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900</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Gemini (Google)</w:t>
            </w:r>
          </w:p>
        </w:tc>
        <w:tc>
          <w:tcPr>
            <w:tcW w:type="dxa" w:w="14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Google Gemini API (In Progress)</w:t>
            </w:r>
          </w:p>
        </w:tc>
        <w:tc>
          <w:tcPr>
            <w:tcW w:type="dxa" w:w="12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2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2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20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900</w:t>
            </w:r>
          </w:p>
        </w:tc>
      </w:tr>
      <w:tr>
        <w:tc>
          <w:tcPr>
            <w:tcW w:type="dxa" w:w="20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Grok (xAI)</w:t>
            </w:r>
          </w:p>
        </w:tc>
        <w:tc>
          <w:tcPr>
            <w:tcW w:type="dxa" w:w="14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xAI API (Planned — ~$0.20)</w:t>
            </w:r>
          </w:p>
        </w:tc>
        <w:tc>
          <w:tcPr>
            <w:tcW w:type="dxa" w:w="12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2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12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20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900</w:t>
            </w:r>
          </w:p>
        </w:tc>
      </w:tr>
      <w:tr>
        <w:tc>
          <w:tcPr>
            <w:tcW w:type="dxa" w:w="20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TOTAL</w:t>
            </w:r>
          </w:p>
        </w:tc>
        <w:tc>
          <w:tcPr>
            <w:tcW w:type="dxa" w:w="14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
            </w:r>
          </w:p>
        </w:tc>
        <w:tc>
          <w:tcPr>
            <w:tcW w:type="dxa" w:w="12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1,200</w:t>
            </w:r>
          </w:p>
        </w:tc>
        <w:tc>
          <w:tcPr>
            <w:tcW w:type="dxa" w:w="12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1,200</w:t>
            </w:r>
          </w:p>
        </w:tc>
        <w:tc>
          <w:tcPr>
            <w:tcW w:type="dxa" w:w="12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1,200</w:t>
            </w:r>
          </w:p>
        </w:tc>
        <w:tc>
          <w:tcPr>
            <w:tcW w:type="dxa" w:w="2026"/>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3,600</w:t>
            </w:r>
          </w:p>
        </w:tc>
      </w:tr>
    </w:tbl>
    <w:p>
      <w:pPr>
        <w:spacing w:line="480"/>
      </w:pPr>
      <w:r>
        <w:rPr>
          <w:rFonts w:ascii="Times New Roman" w:cs="Times New Roman" w:eastAsia="Times New Roman" w:hAnsi="Times New Roman"/>
          <w:sz w:val="24"/>
          <w:szCs w:val="24"/>
        </w:rPr>
        <w:t xml:space="preserve"/>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An important practical update to the original data collection plan is documented here. The proposal initially intended to extract ChatGPT, Claude, and Gemini samples from the RAID benchmark. However, upon direct inspection of the RAID dataset, Claude and Gemini are not present — RAID's model coverage includes ChatGPT and GPT-4 but does not extend to Anthropic or Google models. ChatGPT extraction from RAID proceeded as planned and has been completed. Claude and Gemini samples are being collected via their respective official APIs (Anthropic API and Google Gemini API), which is the appropriate source given that no public benchmark contains these samples in the format required by this study. This represents a data source adjustment, not a methodological change — the four target models, domain stratification strategy, and sample targets remain exactly as specified in the original research design.</w:t>
      </w:r>
    </w:p>
    <w:p>
      <w:pPr>
        <w:pStyle w:val="Heading3"/>
        <w:spacing w:after="120" w:before="300" w:line="480" w:lineRule="auto"/>
      </w:pPr>
      <w:r>
        <w:rPr>
          <w:rFonts w:ascii="Times New Roman" w:cs="Times New Roman" w:eastAsia="Times New Roman" w:hAnsi="Times New Roman"/>
          <w:b/>
          <w:bCs/>
          <w:i/>
          <w:iCs/>
          <w:sz w:val="24"/>
          <w:szCs w:val="24"/>
        </w:rPr>
        <w:t xml:space="preserve">3.2.2 Domain Stratification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Samples are stratified across four text domains to prevent domain-specific stylometric patterns from confounding model attribution. Each model contributes 75 samples per domain per edit condition. Table 3.2 presents the four domains, their RAID labels, and the rationale for each selection.</w:t>
      </w:r>
    </w:p>
    <w:p>
      <w:pPr>
        <w:spacing w:line="480"/>
      </w:pPr>
      <w:r>
        <w:rPr>
          <w:rFonts w:ascii="Times New Roman" w:cs="Times New Roman" w:eastAsia="Times New Roman" w:hAnsi="Times New Roman"/>
          <w:sz w:val="24"/>
          <w:szCs w:val="24"/>
        </w:rPr>
        <w:t xml:space="preserve"/>
      </w:r>
    </w:p>
    <w:p>
      <w:pPr>
        <w:spacing w:after="160" w:before="240" w:line="480" w:lineRule="auto"/>
        <w:jc w:val="center"/>
      </w:pPr>
      <w:r>
        <w:rPr>
          <w:rFonts w:ascii="Times New Roman" w:cs="Times New Roman" w:eastAsia="Times New Roman" w:hAnsi="Times New Roman"/>
          <w:b/>
          <w:bCs/>
          <w:sz w:val="20"/>
          <w:szCs w:val="20"/>
        </w:rPr>
        <w:t xml:space="preserve">Table 3.2: Domain Stratification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W w:type="dxa" w:w="20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Domain</w:t>
            </w:r>
          </w:p>
        </w:tc>
        <w:tc>
          <w:tcPr>
            <w:tcW w:type="dxa" w:w="20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RAID Label</w:t>
            </w:r>
          </w:p>
        </w:tc>
        <w:tc>
          <w:tcPr>
            <w:tcW w:type="dxa" w:w="25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Rationale</w:t>
            </w:r>
          </w:p>
        </w:tc>
        <w:tc>
          <w:tcPr>
            <w:tcW w:type="dxa" w:w="2526"/>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Samples per Model</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Academic writing</w:t>
            </w:r>
          </w:p>
        </w:tc>
        <w:tc>
          <w:tcPr>
            <w:tcW w:type="dxa" w:w="20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abstracts</w:t>
            </w:r>
          </w:p>
        </w:tc>
        <w:tc>
          <w:tcPr>
            <w:tcW w:type="dxa" w:w="25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Primary academic integrity risk domain</w:t>
            </w:r>
          </w:p>
        </w:tc>
        <w:tc>
          <w:tcPr>
            <w:tcW w:type="dxa" w:w="25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75</w:t>
            </w:r>
          </w:p>
        </w:tc>
      </w:tr>
      <w:tr>
        <w:tc>
          <w:tcPr>
            <w:tcW w:type="dxa" w:w="20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News reporting</w:t>
            </w:r>
          </w:p>
        </w:tc>
        <w:tc>
          <w:tcPr>
            <w:tcW w:type="dxa" w:w="20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news</w:t>
            </w:r>
          </w:p>
        </w:tc>
        <w:tc>
          <w:tcPr>
            <w:tcW w:type="dxa" w:w="25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Formal but less domain-specific than academic</w:t>
            </w:r>
          </w:p>
        </w:tc>
        <w:tc>
          <w:tcPr>
            <w:tcW w:type="dxa" w:w="25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75</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Creative prose</w:t>
            </w:r>
          </w:p>
        </w:tc>
        <w:tc>
          <w:tcPr>
            <w:tcW w:type="dxa" w:w="20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books</w:t>
            </w:r>
          </w:p>
        </w:tc>
        <w:tc>
          <w:tcPr>
            <w:tcW w:type="dxa" w:w="25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Tests attribution in narrative-register text</w:t>
            </w:r>
          </w:p>
        </w:tc>
        <w:tc>
          <w:tcPr>
            <w:tcW w:type="dxa" w:w="25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75</w:t>
            </w:r>
          </w:p>
        </w:tc>
      </w:tr>
      <w:tr>
        <w:tc>
          <w:tcPr>
            <w:tcW w:type="dxa" w:w="20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Informal text</w:t>
            </w:r>
          </w:p>
        </w:tc>
        <w:tc>
          <w:tcPr>
            <w:tcW w:type="dxa" w:w="20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reddit</w:t>
            </w:r>
          </w:p>
        </w:tc>
        <w:tc>
          <w:tcPr>
            <w:tcW w:type="dxa" w:w="25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Conversational register — stylometric contrast</w:t>
            </w:r>
          </w:p>
        </w:tc>
        <w:tc>
          <w:tcPr>
            <w:tcW w:type="dxa" w:w="25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75</w:t>
            </w:r>
          </w:p>
        </w:tc>
      </w:tr>
    </w:tbl>
    <w:p>
      <w:pPr>
        <w:spacing w:line="48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Domain stratification serves two purposes in this design. First, it ensures the classifier encounters texts from different registers and topical areas, reducing the risk that domain-specific vocabulary confounds model-level attribution — a threat identified by Dugan et al. (2024) in the RAID benchmark evaluation. Second, it allows post-hoc analysis of whether attribution accuracy differs meaningfully across domains, which is reported in the results.</w:t>
      </w:r>
    </w:p>
    <w:p>
      <w:pPr>
        <w:pStyle w:val="Heading3"/>
        <w:spacing w:after="120" w:before="300" w:line="480" w:lineRule="auto"/>
      </w:pPr>
      <w:r>
        <w:rPr>
          <w:rFonts w:ascii="Times New Roman" w:cs="Times New Roman" w:eastAsia="Times New Roman" w:hAnsi="Times New Roman"/>
          <w:b/>
          <w:bCs/>
          <w:i/>
          <w:iCs/>
          <w:sz w:val="24"/>
          <w:szCs w:val="24"/>
        </w:rPr>
        <w:t xml:space="preserve">3.2.3 ChatGPT — RAID Benchmark (Completed)</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Three hundred ChatGPT samples have been extracted from the RAID benchmark (Dugan et al., 2024), which is publicly available on HuggingFace under the identifier liamdugan/raid. Extraction was filtered to attack='none' and decoding='greedy' conditions to ensure the samples reflect clean, unmanipulated model output rather than adversarially perturbed text. Domain stratification (75 samples per domain) was applied using a fixed random seed of 42 to ensure reproducibility. The extracted file is stored as chatgpt_300samples.csv.</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One boundary condition is noted: RAID's ChatGPT samples were collected using GPT-3.5 and GPT-4 generation configurations in 2023 and 2024. Stylometric fingerprints of GPT-4o and later revisions may differ from those of GPT-4. This is documented as a version boundary condition in the limitations section, and model version metadata from RAID is preserved in the extracted dataset.</w:t>
      </w:r>
    </w:p>
    <w:p>
      <w:pPr>
        <w:pStyle w:val="Heading3"/>
        <w:spacing w:after="120" w:before="300" w:line="480" w:lineRule="auto"/>
      </w:pPr>
      <w:r>
        <w:rPr>
          <w:rFonts w:ascii="Times New Roman" w:cs="Times New Roman" w:eastAsia="Times New Roman" w:hAnsi="Times New Roman"/>
          <w:b/>
          <w:bCs/>
          <w:i/>
          <w:iCs/>
          <w:sz w:val="24"/>
          <w:szCs w:val="24"/>
        </w:rPr>
        <w:t xml:space="preserve">3.2.4 Claude — Anthropic API (Planned)</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Claude samples will be collected via the Anthropic API using the Claude Haiku model, which is the most cost-effective Anthropic model for large-scale text generation. The same domain-stratified prompts extracted from the RAID ChatGPT samples will be submitted to Claude directly, ensuring prompt comparability across all four models. Estimated total cost is approximately $0.20 for 300 samples at Haiku pricing. Model version and collection timestamp will be logged per sample to support replication.</w:t>
      </w:r>
    </w:p>
    <w:p>
      <w:pPr>
        <w:pStyle w:val="Heading3"/>
        <w:spacing w:after="120" w:before="300" w:line="480" w:lineRule="auto"/>
      </w:pPr>
      <w:r>
        <w:rPr>
          <w:rFonts w:ascii="Times New Roman" w:cs="Times New Roman" w:eastAsia="Times New Roman" w:hAnsi="Times New Roman"/>
          <w:b/>
          <w:bCs/>
          <w:i/>
          <w:iCs/>
          <w:sz w:val="24"/>
          <w:szCs w:val="24"/>
        </w:rPr>
        <w:t xml:space="preserve">3.2.5 Gemini — Google Gemini API (In Progress)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Gemini samples are currently being collected via the Google Gemini API. After initial testing confirmed that the gemini-3-flash model operates under a 20-request-per-day free tier limit that is not compatible with collecting 300 samples in a reasonable timeframe, collection switched to the gemini-2.5-flash model, which operates under a more practical rate limit and produces high-quality outputs suitable for stylometric analysis. A billing upgrade to the paid tier is planned to eliminate rate limiting entirely and complete collection in a single session. The same domain-stratified prompts used for ChatGPT and the planned Claude collection are used here, maintaining prompt comparability. Model version and API collection timestamp are logged per sample.</w:t>
      </w:r>
    </w:p>
    <w:p>
      <w:pPr>
        <w:pStyle w:val="Heading3"/>
        <w:spacing w:after="120" w:before="300" w:line="480" w:lineRule="auto"/>
      </w:pPr>
      <w:r>
        <w:rPr>
          <w:rFonts w:ascii="Times New Roman" w:cs="Times New Roman" w:eastAsia="Times New Roman" w:hAnsi="Times New Roman"/>
          <w:b/>
          <w:bCs/>
          <w:i/>
          <w:iCs/>
          <w:sz w:val="24"/>
          <w:szCs w:val="24"/>
        </w:rPr>
        <w:t xml:space="preserve">3.2.6 Grok — xAI API (Planned)</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Grok samples will be collected via the xAI API, which provides access to the Grok-2 model. Grok is the only target model for which no public benchmark data exists — its absence from RAID, M4, and all other detection benchmarks is one of the primary research gaps this study addresses. The same domain-stratified prompts will be submitted to the xAI API, and model version identifiers will be logged per sample. Estimated total cost is approximately $0.20 for 300 samples at current xAI pricing. Risk mitigation: if API access is restricted during collection, a semi-automated fallback collection procedure using clipboard automation has been pre-scripted and is available for deployment without additional setup time.</w:t>
      </w:r>
    </w:p>
    <w:p>
      <w:pPr>
        <w:pStyle w:val="Heading3"/>
        <w:spacing w:after="120" w:before="300" w:line="480" w:lineRule="auto"/>
      </w:pPr>
      <w:r>
        <w:rPr>
          <w:rFonts w:ascii="Times New Roman" w:cs="Times New Roman" w:eastAsia="Times New Roman" w:hAnsi="Times New Roman"/>
          <w:b/>
          <w:bCs/>
          <w:i/>
          <w:iCs/>
          <w:sz w:val="24"/>
          <w:szCs w:val="24"/>
        </w:rPr>
        <w:t xml:space="preserve">3.2.7 Reserve Pool</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 reserve pool of 50 additional samples per model will be constructed using the same extraction and collection procedures described above. These samples are held back from the main dataset and used exclusively to replace any samples rejected by the quality gate after exhausting the three-attempt regeneration limit. The reserve pool is not used for training or evaluation.</w:t>
      </w:r>
    </w:p>
    <w:p>
      <w:pPr>
        <w:pStyle w:val="Heading2"/>
        <w:spacing w:after="200" w:before="480" w:line="480" w:lineRule="auto"/>
      </w:pPr>
      <w:r>
        <w:rPr>
          <w:rFonts w:ascii="Times New Roman" w:cs="Times New Roman" w:eastAsia="Times New Roman" w:hAnsi="Times New Roman"/>
          <w:b/>
          <w:bCs/>
          <w:sz w:val="24"/>
          <w:szCs w:val="24"/>
        </w:rPr>
        <w:t xml:space="preserve">3.3 Pilot Study and Quality Gate Derivation</w:t>
      </w:r>
    </w:p>
    <w:p>
      <w:pPr>
        <w:pStyle w:val="Heading3"/>
        <w:spacing w:after="120" w:before="300" w:line="480" w:lineRule="auto"/>
      </w:pPr>
      <w:r>
        <w:rPr>
          <w:rFonts w:ascii="Times New Roman" w:cs="Times New Roman" w:eastAsia="Times New Roman" w:hAnsi="Times New Roman"/>
          <w:b/>
          <w:bCs/>
          <w:i/>
          <w:iCs/>
          <w:sz w:val="24"/>
          <w:szCs w:val="24"/>
        </w:rPr>
        <w:t xml:space="preserve">3.3.1 Motivation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All prior versions of the research design used arbitrary cosine similarity thresholds — 0.85 for light rewrites, 0.75 for heavy rewrites — without any empirical justification. A threshold of 0.85 implies that a cosine similarity of 0.84 is incoherent and 0.86 is coherent, which is an assumption with no principled basis. Before any full-scale data collection or rewriting, a one-day pilot study was conducted to derive defensible thresholds from actual human coherence judgements made independently of metric scores.</w:t>
      </w:r>
    </w:p>
    <w:p>
      <w:pPr>
        <w:pStyle w:val="Heading3"/>
        <w:spacing w:after="120" w:before="300" w:line="480" w:lineRule="auto"/>
      </w:pPr>
      <w:r>
        <w:rPr>
          <w:rFonts w:ascii="Times New Roman" w:cs="Times New Roman" w:eastAsia="Times New Roman" w:hAnsi="Times New Roman"/>
          <w:b/>
          <w:bCs/>
          <w:i/>
          <w:iCs/>
          <w:sz w:val="24"/>
          <w:szCs w:val="24"/>
        </w:rPr>
        <w:t xml:space="preserve">3.3.2 Pilot Protocol</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pilot study was conducted on 23 February 2026 using the following procedure. Thirty prompts were selected from RAID domain categories — 10 academic, 10 news, 10 creative — and submitted to Llama 3.3 70B via the Groq API to generate 30 source texts. Each source text was then rewritten twice under the light and heavy instruction prompts defined in Section 3.4, producing 60 rewritten samples in total. Word-level normalised Levenshtein distance and cosine similarity using all-MiniLM-L6-v2 were computed for all 60 pairs. The researcher then rated each rewritten sample on a 3-point coherence scale (3 = fully coherent and factually complete, 2 = minor issues but usable, 1 = incoherent or factually distorted) without access to the metric scores, preventing anchoring bias. Thresholds were derived as the midpoint between the minimum cosine similarity among samples rated 2 or above and the maximum cosine similarity among samples rated 1. Where no samples received a rating of 1, the minimum observed cosine value was used as a conservative floor.</w:t>
      </w:r>
    </w:p>
    <w:p>
      <w:pPr>
        <w:pStyle w:val="Heading3"/>
        <w:spacing w:after="120" w:before="300" w:line="480" w:lineRule="auto"/>
      </w:pPr>
      <w:r>
        <w:rPr>
          <w:rFonts w:ascii="Times New Roman" w:cs="Times New Roman" w:eastAsia="Times New Roman" w:hAnsi="Times New Roman"/>
          <w:b/>
          <w:bCs/>
          <w:i/>
          <w:iCs/>
          <w:sz w:val="24"/>
          <w:szCs w:val="24"/>
        </w:rPr>
        <w:t xml:space="preserve">3.3.3 Acknowledged Limitation and Calibration Plan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pilot used Llama 3.3 70B to generate the 30 source texts before rewriting them with Llama 3.3 70B. This constitutes a self-rewriting scenario — a model rewriting its own output. A model rewriting text it generated may yield a different cosine degradation curve than the same model rewriting the stylistically distinct output of ChatGPT, Claude, Gemini, or Grok. The derived thresholds are therefore first-pass working estimates calibrated to a Llama baseline distribution rather than the four target model distributions used in the full study.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To address this, a calibration refinement is planned as the first task following initial dataset collection. Seven to eight samples from each of the four target models — approximately 30 samples in total drawn from the collected dataset — will be rewritten under the same light and heavy instruction prompts. Thresholds will be re-derived from this correctly calibrated distribution. If re-derived values differ materially from 0.80 and 0.597, the quality gate will be updated before production rewriting begins. The current thresholds serve as working estimates only. This sequencing guarantees calibration to the correct baseline before the gate is applied at scale.</w:t>
      </w:r>
    </w:p>
    <w:p>
      <w:pPr>
        <w:pStyle w:val="Heading3"/>
        <w:spacing w:after="120" w:before="300" w:line="480" w:lineRule="auto"/>
      </w:pPr>
      <w:r>
        <w:rPr>
          <w:rFonts w:ascii="Times New Roman" w:cs="Times New Roman" w:eastAsia="Times New Roman" w:hAnsi="Times New Roman"/>
          <w:b/>
          <w:bCs/>
          <w:i/>
          <w:iCs/>
          <w:sz w:val="24"/>
          <w:szCs w:val="24"/>
        </w:rPr>
        <w:t xml:space="preserve">3.3.4 Pilot Results</w:t>
      </w:r>
    </w:p>
    <w:p>
      <w:pPr>
        <w:spacing w:line="480"/>
      </w:pPr>
      <w:r>
        <w:rPr>
          <w:rFonts w:ascii="Times New Roman" w:cs="Times New Roman" w:eastAsia="Times New Roman" w:hAnsi="Times New Roman"/>
          <w:sz w:val="24"/>
          <w:szCs w:val="24"/>
        </w:rPr>
        <w:t xml:space="preserve"/>
      </w:r>
    </w:p>
    <w:p>
      <w:pPr>
        <w:spacing w:after="160" w:before="240" w:line="480" w:lineRule="auto"/>
        <w:jc w:val="center"/>
      </w:pPr>
      <w:r>
        <w:rPr>
          <w:rFonts w:ascii="Times New Roman" w:cs="Times New Roman" w:eastAsia="Times New Roman" w:hAnsi="Times New Roman"/>
          <w:b/>
          <w:bCs/>
          <w:sz w:val="20"/>
          <w:szCs w:val="20"/>
        </w:rPr>
        <w:t xml:space="preserve">Table 3.3: Pilot Study Results — Empirically Derived Quality Gate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1500"/>
        <w:gridCol w:w="2126"/>
      </w:tblGrid>
      <w:tr>
        <w:tc>
          <w:tcPr>
            <w:tcW w:type="dxa" w:w="22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Condition</w:t>
            </w:r>
          </w:p>
        </w:tc>
        <w:tc>
          <w:tcPr>
            <w:tcW w:type="dxa" w:w="17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Derived Threshold</w:t>
            </w:r>
          </w:p>
        </w:tc>
        <w:tc>
          <w:tcPr>
            <w:tcW w:type="dxa" w:w="15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Mean Levenshtein</w:t>
            </w:r>
          </w:p>
        </w:tc>
        <w:tc>
          <w:tcPr>
            <w:tcW w:type="dxa" w:w="15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Mean Cosine</w:t>
            </w:r>
          </w:p>
        </w:tc>
        <w:tc>
          <w:tcPr>
            <w:tcW w:type="dxa" w:w="2126"/>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Rating-1 Samples</w:t>
            </w:r>
          </w:p>
        </w:tc>
      </w:tr>
      <w:tr>
        <w:tc>
          <w:tcPr>
            <w:tcW w:type="dxa" w:w="22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Light rewrite (~40%)</w:t>
            </w:r>
          </w:p>
        </w:tc>
        <w:tc>
          <w:tcPr>
            <w:tcW w:type="dxa" w:w="17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&gt;= 0.80</w:t>
            </w:r>
          </w:p>
        </w:tc>
        <w:tc>
          <w:tcPr>
            <w:tcW w:type="dxa" w:w="15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~0.66</w:t>
            </w:r>
          </w:p>
        </w:tc>
        <w:tc>
          <w:tcPr>
            <w:tcW w:type="dxa" w:w="15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~0.89</w:t>
            </w:r>
          </w:p>
        </w:tc>
        <w:tc>
          <w:tcPr>
            <w:tcW w:type="dxa" w:w="21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0 of 30</w:t>
            </w:r>
          </w:p>
        </w:tc>
      </w:tr>
      <w:tr>
        <w:tc>
          <w:tcPr>
            <w:tcW w:type="dxa" w:w="22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Heavy rewrite (~65%)</w:t>
            </w:r>
          </w:p>
        </w:tc>
        <w:tc>
          <w:tcPr>
            <w:tcW w:type="dxa" w:w="17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&gt;= 0.597</w:t>
            </w:r>
          </w:p>
        </w:tc>
        <w:tc>
          <w:tcPr>
            <w:tcW w:type="dxa" w:w="15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~0.74</w:t>
            </w:r>
          </w:p>
        </w:tc>
        <w:tc>
          <w:tcPr>
            <w:tcW w:type="dxa" w:w="15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~0.82</w:t>
            </w:r>
          </w:p>
        </w:tc>
        <w:tc>
          <w:tcPr>
            <w:tcW w:type="dxa" w:w="21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0 of 30</w:t>
            </w:r>
          </w:p>
        </w:tc>
      </w:tr>
    </w:tbl>
    <w:p>
      <w:pPr>
        <w:spacing w:line="480"/>
      </w:pPr>
      <w:r>
        <w:rPr>
          <w:rFonts w:ascii="Times New Roman" w:cs="Times New Roman" w:eastAsia="Times New Roman" w:hAnsi="Times New Roman"/>
          <w:sz w:val="24"/>
          <w:szCs w:val="24"/>
        </w:rPr>
        <w:t xml:space="preserve"/>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No samples received a coherence rating of 1 in either condition, indicating that Llama 3.3 70B via the Groq API consistently produces semantically coherent rewrites under both instruction prompts. The derived thresholds represent conservative minimum cosine floors rather than incoherence boundaries. Scatter plots of cosine similarity against coherence rating are archived as supplementary material.</w:t>
      </w:r>
    </w:p>
    <w:p>
      <w:pPr>
        <w:pStyle w:val="Heading2"/>
        <w:spacing w:after="200" w:before="480" w:line="480" w:lineRule="auto"/>
      </w:pPr>
      <w:r>
        <w:rPr>
          <w:rFonts w:ascii="Times New Roman" w:cs="Times New Roman" w:eastAsia="Times New Roman" w:hAnsi="Times New Roman"/>
          <w:b/>
          <w:bCs/>
          <w:sz w:val="24"/>
          <w:szCs w:val="24"/>
        </w:rPr>
        <w:t xml:space="preserve">3.4 LLM-Based Rewriting Procedure</w:t>
      </w:r>
    </w:p>
    <w:p>
      <w:pPr>
        <w:pStyle w:val="Heading3"/>
        <w:spacing w:after="120" w:before="300" w:line="480" w:lineRule="auto"/>
      </w:pPr>
      <w:r>
        <w:rPr>
          <w:rFonts w:ascii="Times New Roman" w:cs="Times New Roman" w:eastAsia="Times New Roman" w:hAnsi="Times New Roman"/>
          <w:b/>
          <w:bCs/>
          <w:i/>
          <w:iCs/>
          <w:sz w:val="24"/>
          <w:szCs w:val="24"/>
        </w:rPr>
        <w:t xml:space="preserve">3.4.1 Rewriting Model and Rationale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All 2,400 rewritten samples (1,200 light and 1,200 heavy) are generated using Llama 3.3 70B accessed via the Groq free API. Llama 3.3 70B is selected because it operates at the sentence and paragraph level, restructuring argument flow and varying rhetorical register in a way that closely reflects how students in 2025 actually process AI-generated text before submission. This is qualitatively different from the T5-based synonym substitution tools used in prior rewriting studies, and the choice directly addresses Gap 3 identified in Chapter 2. The Groq API rate limit of 14,400 tokens per minute is sufficient to complete all 2,400 rewrites in approximately three to four hours.</w:t>
      </w:r>
    </w:p>
    <w:p>
      <w:pPr>
        <w:pStyle w:val="Heading3"/>
        <w:spacing w:after="120" w:before="300" w:line="480" w:lineRule="auto"/>
      </w:pPr>
      <w:r>
        <w:rPr>
          <w:rFonts w:ascii="Times New Roman" w:cs="Times New Roman" w:eastAsia="Times New Roman" w:hAnsi="Times New Roman"/>
          <w:b/>
          <w:bCs/>
          <w:i/>
          <w:iCs/>
          <w:sz w:val="24"/>
          <w:szCs w:val="24"/>
        </w:rPr>
        <w:t xml:space="preserve">3.4.2 Instruction Prompts</w:t>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Two instruction prompts are used, one for each rewriting condition.</w:t>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Light rewriting instruction: 'Rewrite the following text in a natural academic tone. Change sentence structures and word choices meaningfully, but preserve all factual content and meaning exactly. Do not add new information.'</w:t>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Heavy rewriting instruction: 'Completely rephrase the following text. Substantially alter sentence structures, vocabulary, and phrasing throughout the entire passage while preserving the core meaning and maintaining academic coherence. The result should read as if written by a different author.'</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prompts are held constant across all four model classes. Any deviation from these prompts during production rewriting will be documented as a methodological deviation in the results.</w:t>
      </w:r>
    </w:p>
    <w:p>
      <w:pPr>
        <w:pStyle w:val="Heading2"/>
        <w:spacing w:after="200" w:before="480" w:line="480" w:lineRule="auto"/>
      </w:pPr>
      <w:r>
        <w:rPr>
          <w:rFonts w:ascii="Times New Roman" w:cs="Times New Roman" w:eastAsia="Times New Roman" w:hAnsi="Times New Roman"/>
          <w:b/>
          <w:bCs/>
          <w:sz w:val="24"/>
          <w:szCs w:val="24"/>
        </w:rPr>
        <w:t xml:space="preserve">3.5 Quality Gate — Formal Specification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Each rewritten sample must satisfy both conditions in Table 3.4 simultaneously to be accepted. Samples failing either condition are regenerated up to three times using the same instruction prompt. Samples still failing after three attempts are replaced from the 50-sample reserve pool. Replacements are logged.</w:t>
      </w:r>
    </w:p>
    <w:p>
      <w:pPr>
        <w:spacing w:line="480"/>
      </w:pPr>
      <w:r>
        <w:rPr>
          <w:rFonts w:ascii="Times New Roman" w:cs="Times New Roman" w:eastAsia="Times New Roman" w:hAnsi="Times New Roman"/>
          <w:sz w:val="24"/>
          <w:szCs w:val="24"/>
        </w:rPr>
        <w:t xml:space="preserve"/>
      </w:r>
    </w:p>
    <w:p>
      <w:pPr>
        <w:spacing w:after="160" w:before="240" w:line="480" w:lineRule="auto"/>
        <w:jc w:val="center"/>
      </w:pPr>
      <w:r>
        <w:rPr>
          <w:rFonts w:ascii="Times New Roman" w:cs="Times New Roman" w:eastAsia="Times New Roman" w:hAnsi="Times New Roman"/>
          <w:b/>
          <w:bCs/>
          <w:sz w:val="20"/>
          <w:szCs w:val="20"/>
        </w:rPr>
        <w:t xml:space="preserve">Table 3.4: Dual-Metric Quality Gate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226"/>
      </w:tblGrid>
      <w:tr>
        <w:tc>
          <w:tcPr>
            <w:tcW w:type="dxa" w:w="18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Metric</w:t>
            </w:r>
          </w:p>
        </w:tc>
        <w:tc>
          <w:tcPr>
            <w:tcW w:type="dxa" w:w="15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Light Target</w:t>
            </w:r>
          </w:p>
        </w:tc>
        <w:tc>
          <w:tcPr>
            <w:tcW w:type="dxa" w:w="15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Heavy Target</w:t>
            </w:r>
          </w:p>
        </w:tc>
        <w:tc>
          <w:tcPr>
            <w:tcW w:type="dxa" w:w="4226"/>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Computation</w:t>
            </w:r>
          </w:p>
        </w:tc>
      </w:tr>
      <w:tr>
        <w:tc>
          <w:tcPr>
            <w:tcW w:type="dxa" w:w="18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Word-level Levenshtein (normalised)</w:t>
            </w:r>
          </w:p>
        </w:tc>
        <w:tc>
          <w:tcPr>
            <w:tcW w:type="dxa" w:w="15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0.30 – 0.50</w:t>
            </w:r>
          </w:p>
        </w:tc>
        <w:tc>
          <w:tcPr>
            <w:tcW w:type="dxa" w:w="15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0.55 – 0.70</w:t>
            </w:r>
          </w:p>
        </w:tc>
        <w:tc>
          <w:tcPr>
            <w:tcW w:type="dxa" w:w="42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edit_distance(tokens_A, tokens_B) / max(len(A), len(B)) via python-Levenshtein on whitespace-tokenised text</w:t>
            </w:r>
          </w:p>
        </w:tc>
      </w:tr>
      <w:tr>
        <w:tc>
          <w:tcPr>
            <w:tcW w:type="dxa" w:w="18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Cosine similarity (empirically derived)</w:t>
            </w:r>
          </w:p>
        </w:tc>
        <w:tc>
          <w:tcPr>
            <w:tcW w:type="dxa" w:w="15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&gt;= 0.80</w:t>
            </w:r>
          </w:p>
        </w:tc>
        <w:tc>
          <w:tcPr>
            <w:tcW w:type="dxa" w:w="15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&gt;= 0.597</w:t>
            </w:r>
          </w:p>
        </w:tc>
        <w:tc>
          <w:tcPr>
            <w:tcW w:type="dxa" w:w="42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all-MiniLM-L6-v2 SentenceTransformer embeddings; mean pooling over full sample text</w:t>
            </w:r>
          </w:p>
        </w:tc>
      </w:tr>
    </w:tbl>
    <w:p>
      <w:pPr>
        <w:spacing w:line="480"/>
      </w:pPr>
      <w:r>
        <w:rPr>
          <w:rFonts w:ascii="Times New Roman" w:cs="Times New Roman" w:eastAsia="Times New Roman" w:hAnsi="Times New Roman"/>
          <w:sz w:val="24"/>
          <w:szCs w:val="24"/>
        </w:rPr>
        <w:t xml:space="preserve"/>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The dual-metric design serves complementary functions. The Levenshtein range verifies that sufficient surface-level editing has occurred — preventing samples that are minimally paraphrased from qualifying as light rewrites, and samples that are nearly identical to the original from qualifying as heavy rewrites. The cosine floor verifies that semantic content has been preserved — preventing rewrites that change meaning so substantially that they no longer represent coherent text on the original topic. Both conditions must be satisfied because either alone is insufficient: a sample can hit the Levenshtein target through random word shuffling that destroys meaning, or can hit the cosine floor through trivial edits that barely change the surface form.</w:t>
      </w:r>
    </w:p>
    <w:p>
      <w:pPr>
        <w:pStyle w:val="Heading2"/>
        <w:spacing w:after="200" w:before="480" w:line="480" w:lineRule="auto"/>
      </w:pPr>
      <w:r>
        <w:rPr>
          <w:rFonts w:ascii="Times New Roman" w:cs="Times New Roman" w:eastAsia="Times New Roman" w:hAnsi="Times New Roman"/>
          <w:b/>
          <w:bCs/>
          <w:sz w:val="24"/>
          <w:szCs w:val="24"/>
        </w:rPr>
        <w:t xml:space="preserve">3.6 Feature Extraction</w:t>
      </w:r>
    </w:p>
    <w:p>
      <w:pPr>
        <w:pStyle w:val="Heading3"/>
        <w:spacing w:after="120" w:before="300" w:line="480" w:lineRule="auto"/>
      </w:pPr>
      <w:r>
        <w:rPr>
          <w:rFonts w:ascii="Times New Roman" w:cs="Times New Roman" w:eastAsia="Times New Roman" w:hAnsi="Times New Roman"/>
          <w:b/>
          <w:bCs/>
          <w:i/>
          <w:iCs/>
          <w:sz w:val="24"/>
          <w:szCs w:val="24"/>
        </w:rPr>
        <w:t xml:space="preserve">3.6.1 Stylometric Features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Eight stylometric features are extracted per sample using the libraries specified in Table 3.5. The features were selected to capture dimensions of writing style that prior attribution research (Argasinski et al., 2025; Przystalski et al., 2025) has identified as differentially characteristic of specific LLMs, while remaining computationally lightweight and fully interpretable for SHAP analysis.</w:t>
      </w:r>
    </w:p>
    <w:p>
      <w:pPr>
        <w:spacing w:line="480"/>
      </w:pPr>
      <w:r>
        <w:rPr>
          <w:rFonts w:ascii="Times New Roman" w:cs="Times New Roman" w:eastAsia="Times New Roman" w:hAnsi="Times New Roman"/>
          <w:sz w:val="24"/>
          <w:szCs w:val="24"/>
        </w:rPr>
        <w:t xml:space="preserve"/>
      </w:r>
    </w:p>
    <w:p>
      <w:pPr>
        <w:spacing w:after="160" w:before="240" w:line="480" w:lineRule="auto"/>
        <w:jc w:val="center"/>
      </w:pPr>
      <w:r>
        <w:rPr>
          <w:rFonts w:ascii="Times New Roman" w:cs="Times New Roman" w:eastAsia="Times New Roman" w:hAnsi="Times New Roman"/>
          <w:b/>
          <w:bCs/>
          <w:sz w:val="20"/>
          <w:szCs w:val="20"/>
        </w:rPr>
        <w:t xml:space="preserve">Table 3.5: Stylometric Feature Set and Extraction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c>
          <w:tcPr>
            <w:tcW w:type="dxa" w:w="27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Feature</w:t>
            </w:r>
          </w:p>
        </w:tc>
        <w:tc>
          <w:tcPr>
            <w:tcW w:type="dxa" w:w="17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Library</w:t>
            </w:r>
          </w:p>
        </w:tc>
        <w:tc>
          <w:tcPr>
            <w:tcW w:type="dxa" w:w="4626"/>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Rationale for Attribution</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Mean sentence length (tokens)</w:t>
            </w:r>
          </w:p>
        </w:tc>
        <w:tc>
          <w:tcPr>
            <w:tcW w:type="dxa" w:w="17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spaCy</w:t>
            </w:r>
          </w:p>
        </w:tc>
        <w:tc>
          <w:tcPr>
            <w:tcW w:type="dxa" w:w="46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LLMs differ in default sentence complexity and length preferences</w:t>
            </w:r>
          </w:p>
        </w:tc>
      </w:tr>
      <w:tr>
        <w:tc>
          <w:tcPr>
            <w:tcW w:type="dxa" w:w="27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Variance of sentence length</w:t>
            </w:r>
          </w:p>
        </w:tc>
        <w:tc>
          <w:tcPr>
            <w:tcW w:type="dxa" w:w="17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spaCy</w:t>
            </w:r>
          </w:p>
        </w:tc>
        <w:tc>
          <w:tcPr>
            <w:tcW w:type="dxa" w:w="46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GPT tends toward higher variance; Claude toward more uniform length</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Type-Token Ratio (TTR)</w:t>
            </w:r>
          </w:p>
        </w:tc>
        <w:tc>
          <w:tcPr>
            <w:tcW w:type="dxa" w:w="17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NLTK</w:t>
            </w:r>
          </w:p>
        </w:tc>
        <w:tc>
          <w:tcPr>
            <w:tcW w:type="dxa" w:w="46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Proxy for lexical diversity — varies with model training corpus</w:t>
            </w:r>
          </w:p>
        </w:tc>
      </w:tr>
      <w:tr>
        <w:tc>
          <w:tcPr>
            <w:tcW w:type="dxa" w:w="27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Hedging word frequency</w:t>
            </w:r>
          </w:p>
        </w:tc>
        <w:tc>
          <w:tcPr>
            <w:tcW w:type="dxa" w:w="17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NLTK word list</w:t>
            </w:r>
          </w:p>
        </w:tc>
        <w:tc>
          <w:tcPr>
            <w:tcW w:type="dxa" w:w="46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Claude uses more epistemic hedging than GPT (Argasinski et al., 2025)</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Passive voice rate</w:t>
            </w:r>
          </w:p>
        </w:tc>
        <w:tc>
          <w:tcPr>
            <w:tcW w:type="dxa" w:w="17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spaCy dependency parse</w:t>
            </w:r>
          </w:p>
        </w:tc>
        <w:tc>
          <w:tcPr>
            <w:tcW w:type="dxa" w:w="46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Academic register differs by model training objective and RLHF fine-tuning</w:t>
            </w:r>
          </w:p>
        </w:tc>
      </w:tr>
      <w:tr>
        <w:tc>
          <w:tcPr>
            <w:tcW w:type="dxa" w:w="27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Comma density (per 100 words)</w:t>
            </w:r>
          </w:p>
        </w:tc>
        <w:tc>
          <w:tcPr>
            <w:tcW w:type="dxa" w:w="17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Python string count</w:t>
            </w:r>
          </w:p>
        </w:tc>
        <w:tc>
          <w:tcPr>
            <w:tcW w:type="dxa" w:w="46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Punctuation patterns are stable and consistent model fingerprints</w:t>
            </w:r>
          </w:p>
        </w:tc>
      </w:tr>
      <w:tr>
        <w:tc>
          <w:tcPr>
            <w:tcW w:type="dxa" w:w="27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Mean word length (characters)</w:t>
            </w:r>
          </w:p>
        </w:tc>
        <w:tc>
          <w:tcPr>
            <w:tcW w:type="dxa" w:w="17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Python</w:t>
            </w:r>
          </w:p>
        </w:tc>
        <w:tc>
          <w:tcPr>
            <w:tcW w:type="dxa" w:w="46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Vocabulary sophistication level varies by model and training data</w:t>
            </w:r>
          </w:p>
        </w:tc>
      </w:tr>
      <w:tr>
        <w:tc>
          <w:tcPr>
            <w:tcW w:type="dxa" w:w="27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Flesch-Kincaid readability score</w:t>
            </w:r>
          </w:p>
        </w:tc>
        <w:tc>
          <w:tcPr>
            <w:tcW w:type="dxa" w:w="17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textstat</w:t>
            </w:r>
          </w:p>
        </w:tc>
        <w:tc>
          <w:tcPr>
            <w:tcW w:type="dxa" w:w="46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Composite score sensitive to both sentence and word length distributions</w:t>
            </w:r>
          </w:p>
        </w:tc>
      </w:tr>
    </w:tbl>
    <w:p>
      <w:pPr>
        <w:spacing w:line="480"/>
      </w:pPr>
      <w:r>
        <w:rPr>
          <w:rFonts w:ascii="Times New Roman" w:cs="Times New Roman" w:eastAsia="Times New Roman" w:hAnsi="Times New Roman"/>
          <w:sz w:val="24"/>
          <w:szCs w:val="24"/>
        </w:rPr>
        <w:t xml:space="preserve"/>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All eight features are computed on the raw text of each sample. For samples that have been rewritten, feature extraction is performed on the rewritten text — not the original — since the feature vector must represent the text as it would be presented for attribution in a real deployment scenario. Feature extraction is implemented as a single Python function applied uniformly across all 3,600 samples.</w:t>
      </w:r>
    </w:p>
    <w:p>
      <w:pPr>
        <w:pStyle w:val="Heading3"/>
        <w:spacing w:after="120" w:before="300" w:line="480" w:lineRule="auto"/>
      </w:pPr>
      <w:r>
        <w:rPr>
          <w:rFonts w:ascii="Times New Roman" w:cs="Times New Roman" w:eastAsia="Times New Roman" w:hAnsi="Times New Roman"/>
          <w:b/>
          <w:bCs/>
          <w:i/>
          <w:iCs/>
          <w:sz w:val="24"/>
          <w:szCs w:val="24"/>
        </w:rPr>
        <w:t xml:space="preserve">3.6.2 Semantic Features — all-MiniLM-L6-v2</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Sentence-level semantic embeddings are extracted using the all-MiniLM-L6-v2 SentenceTransformer (Wang et al., 2020; Reimers &amp; Gurevych, 2019), producing a 384-dimensional vector per sample. This model is selected over raw BERT or RoBERTa CLS token representations for two specific reasons. First, all-MiniLM-L6-v2 is explicitly trained to produce high-quality document-level semantic representations via contrastive learning on over one billion sentence pairs; unfinetuned BERT CLS representations are not designed for document-level similarity and produce inferior embedding quality for this purpose (Reimers &amp; Gurevych, 2019). Second, this model is already loaded in the quality gate pipeline for cosine similarity computation, eliminating redundant model loading and ensuring all semantic representations throughout the study occupy a consistent embedding space.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Embeddings are extracted using mean token pooling over the full sample text, not CLS token extraction. All 3,600 samples are processed in a single extraction session with 100-sample checkpointing to prevent data loss on interruption.</w:t>
      </w:r>
    </w:p>
    <w:p>
      <w:pPr>
        <w:pStyle w:val="Heading3"/>
        <w:spacing w:after="120" w:before="300" w:line="480" w:lineRule="auto"/>
      </w:pPr>
      <w:r>
        <w:rPr>
          <w:rFonts w:ascii="Times New Roman" w:cs="Times New Roman" w:eastAsia="Times New Roman" w:hAnsi="Times New Roman"/>
          <w:b/>
          <w:bCs/>
          <w:i/>
          <w:iCs/>
          <w:sz w:val="24"/>
          <w:szCs w:val="24"/>
        </w:rPr>
        <w:t xml:space="preserve">3.6.3 Dimensionality Reduction — PCA</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384-dimensional semantic embeddings are reduced using Principal Component Analysis before concatenation with stylometric features. PCA is fitted on the training fold only within each cross-validation loop and applied to the corresponding test fold — no leakage. The number of retained components is set to explain approximately 95% of cumulative variance in the training fold, which yields approximately 75 components in preliminary analysis.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need for PCA follows directly from the sample-to-feature ratio analysis. Without reduction, concatenating 8 stylometric features with 384 semantic dimensions yields a 392-dimensional feature vector trained on 960 instances per fold, giving a ratio of 2.4:1 — a textbook overfitting risk for ensemble classifiers (Bishop, 2006). After PCA reduction, the final feature vector of approximately 83 dimensions gives a ratio of 11.6:1, which is within the healthy operating range for XGBoost, Random Forest, and MLP.</w:t>
      </w:r>
    </w:p>
    <w:p>
      <w:pPr>
        <w:pStyle w:val="Heading3"/>
        <w:spacing w:after="120" w:before="300" w:line="480" w:lineRule="auto"/>
      </w:pPr>
      <w:r>
        <w:rPr>
          <w:rFonts w:ascii="Times New Roman" w:cs="Times New Roman" w:eastAsia="Times New Roman" w:hAnsi="Times New Roman"/>
          <w:b/>
          <w:bCs/>
          <w:i/>
          <w:iCs/>
          <w:sz w:val="24"/>
          <w:szCs w:val="24"/>
        </w:rPr>
        <w:t xml:space="preserve">3.6.4 Feature Scaling and Final Vector Assembly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Two independent StandardScalers are fitted separately — one on the 8-dimensional stylometric block and one on the PCA-reduced semantic block — using training fold data only. Fitting scalers on the full dataset before the CV split constitutes data leakage and is explicitly avoided. Stylometric and semantic blocks are scaled independently because their natural magnitudes differ substantially: sentence count ranges from 5 to 80, while all-MiniLM-L6-v2 dimensions are already bounded within the normalised embedding space. Without independent scaling, PCA components would be dominated by arithmetic magnitude rather than genuine attribution signal.</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8 stylometric features are kept outside the PCA transformation and concatenated with the PCA-reduced semantic block after independent scaling. This preserves the direct correspondence between stylometric feature identities and SHAP importance scores, which is essential for the feature survival analysis in Section 3.10. The final feature vector per sample is approximately 83 dimensions.</w:t>
      </w:r>
    </w:p>
    <w:p>
      <w:pPr>
        <w:pStyle w:val="Heading2"/>
        <w:spacing w:after="200" w:before="480" w:line="480" w:lineRule="auto"/>
      </w:pPr>
      <w:r>
        <w:rPr>
          <w:rFonts w:ascii="Times New Roman" w:cs="Times New Roman" w:eastAsia="Times New Roman" w:hAnsi="Times New Roman"/>
          <w:b/>
          <w:bCs/>
          <w:sz w:val="24"/>
          <w:szCs w:val="24"/>
        </w:rPr>
        <w:t xml:space="preserve">3.7 Classifier — Soft Voting Ensemble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primary attribution classifier is a soft voting ensemble combining three base estimators: XGBoost, Random Forest, and a multi-layer perceptron (MLP). Soft voting aggregates the predicted class probability distributions from all three estimators and selects the class with the highest mean probability. The ensemble is trained on the 1,200 original (0% edit condition) samples using 5-fold stratified cross-validation, with stratification maintaining equal class proportions in each fold.</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XGBoost (n_estimators=200, max_depth=6, learning_rate=0.05) handles non-linear feature interactions and provides the SHAP TreeExplainer-compatible component for interpretability analysis in Section 3.10. Random Forest (n_estimators=200, max_features=sqrt) is robust to feature collinearity and contributes ensemble diversity through bootstrap sampling. The MLP (hidden layers of 256, 128, and 64 units, dropout=0.3, max_iter=300) captures distributional patterns in the PCA-compressed semantic embedding through non-linear transformation. At approximately 83 input dimensions and 960 training instances per fold, overfitting risk for the MLP is substantially lower than it would be under the original 392-dimensional feature vector.</w:t>
      </w:r>
    </w:p>
    <w:p>
      <w:pPr>
        <w:pStyle w:val="Heading2"/>
        <w:spacing w:after="200" w:before="480" w:line="480" w:lineRule="auto"/>
      </w:pPr>
      <w:r>
        <w:rPr>
          <w:rFonts w:ascii="Times New Roman" w:cs="Times New Roman" w:eastAsia="Times New Roman" w:hAnsi="Times New Roman"/>
          <w:b/>
          <w:bCs/>
          <w:sz w:val="24"/>
          <w:szCs w:val="24"/>
        </w:rPr>
        <w:t xml:space="preserve">3.8 Out-of-Distribution Robustness Evaluation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Following cross-validation training on the 0% original samples, the trained ensemble is applied without modification to all 2,400 rewritten samples across the two edit conditions. This is the standard OOD robustness evaluation protocol (Hendrycks &amp; Gimpel, 2017; Ovadia et al., 2019): the class labels remain the four model identities across all conditions while the input distribution shifts from original to rewritten text. The term OOD robustness evaluation is used deliberately and precisely throughout this study to distinguish this design from zero-shot learning, which involves unseen class categories.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drop in macro F1 from the in-distribution (0% edit) cross-validation score to the OOD (40% and 65% edit) accuracy scores is the direct empirical measure of attribution survival. A drop of less than 10 percentage points indicates strong robustness; a drop to within 5 points of the 25% chance baseline indicates near-total attribution erasure. The SHAP analysis in Section 3.10 then identifies which features drive or resist that drop.</w:t>
      </w:r>
    </w:p>
    <w:p>
      <w:pPr>
        <w:pStyle w:val="Heading2"/>
        <w:spacing w:after="200" w:before="480" w:line="480" w:lineRule="auto"/>
      </w:pPr>
      <w:r>
        <w:rPr>
          <w:rFonts w:ascii="Times New Roman" w:cs="Times New Roman" w:eastAsia="Times New Roman" w:hAnsi="Times New Roman"/>
          <w:b/>
          <w:bCs/>
          <w:sz w:val="24"/>
          <w:szCs w:val="24"/>
        </w:rPr>
        <w:t xml:space="preserve">3.9 Ablation Study Design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Four configurations are evaluated to isolate the contribution of each feature type and the multi-classifier ensemble. In Configurations 1 through 3, XGBoost is held constant as the single classifier. This design ensures that any accuracy difference between configurations reflects a feature-type effect rather than a classifier architecture effect. Configuration 4 then introduces the full soft voting ensemble with the combined feature set, measuring the additional benefit of ensemble diversity over the best single-classifier configuration.</w:t>
      </w:r>
    </w:p>
    <w:p>
      <w:pPr>
        <w:spacing w:line="480"/>
      </w:pPr>
      <w:r>
        <w:rPr>
          <w:rFonts w:ascii="Times New Roman" w:cs="Times New Roman" w:eastAsia="Times New Roman" w:hAnsi="Times New Roman"/>
          <w:sz w:val="24"/>
          <w:szCs w:val="24"/>
        </w:rPr>
        <w:t xml:space="preserve"/>
      </w:r>
    </w:p>
    <w:p>
      <w:pPr>
        <w:spacing w:after="160" w:before="240" w:line="480" w:lineRule="auto"/>
        <w:jc w:val="center"/>
      </w:pPr>
      <w:r>
        <w:rPr>
          <w:rFonts w:ascii="Times New Roman" w:cs="Times New Roman" w:eastAsia="Times New Roman" w:hAnsi="Times New Roman"/>
          <w:b/>
          <w:bCs/>
          <w:sz w:val="20"/>
          <w:szCs w:val="20"/>
        </w:rPr>
        <w:t xml:space="preserve">Table 3.6: Ablation Study Configurations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2300"/>
        <w:gridCol w:w="2326"/>
      </w:tblGrid>
      <w:tr>
        <w:tc>
          <w:tcPr>
            <w:tcW w:type="dxa" w:w="6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Config</w:t>
            </w:r>
          </w:p>
        </w:tc>
        <w:tc>
          <w:tcPr>
            <w:tcW w:type="dxa" w:w="18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Classifier</w:t>
            </w:r>
          </w:p>
        </w:tc>
        <w:tc>
          <w:tcPr>
            <w:tcW w:type="dxa" w:w="20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Features</w:t>
            </w:r>
          </w:p>
        </w:tc>
        <w:tc>
          <w:tcPr>
            <w:tcW w:type="dxa" w:w="2300"/>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What It Isolates</w:t>
            </w:r>
          </w:p>
        </w:tc>
        <w:tc>
          <w:tcPr>
            <w:tcW w:type="dxa" w:w="2326"/>
            <w:tcBorders>
              <w:top w:val="single" w:color="999999" w:sz="4"/>
              <w:left w:val="single" w:color="999999" w:sz="4"/>
              <w:bottom w:val="single" w:color="999999" w:sz="4"/>
              <w:right w:val="single" w:color="999999"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RQ Answered</w:t>
            </w:r>
          </w:p>
        </w:tc>
      </w:tr>
      <w:tr>
        <w:tc>
          <w:tcPr>
            <w:tcW w:type="dxa" w:w="6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18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XGBoost (constant)</w:t>
            </w:r>
          </w:p>
        </w:tc>
        <w:tc>
          <w:tcPr>
            <w:tcW w:type="dxa" w:w="20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8 stylometric only</w:t>
            </w:r>
          </w:p>
        </w:tc>
        <w:tc>
          <w:tcPr>
            <w:tcW w:type="dxa" w:w="23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Surface pattern strength alone</w:t>
            </w:r>
          </w:p>
        </w:tc>
        <w:tc>
          <w:tcPr>
            <w:tcW w:type="dxa" w:w="23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RQ4 baseline</w:t>
            </w:r>
          </w:p>
        </w:tc>
      </w:tr>
      <w:tr>
        <w:tc>
          <w:tcPr>
            <w:tcW w:type="dxa" w:w="6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18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XGBoost (constant)</w:t>
            </w:r>
          </w:p>
        </w:tc>
        <w:tc>
          <w:tcPr>
            <w:tcW w:type="dxa" w:w="20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~75 PCA components only</w:t>
            </w:r>
          </w:p>
        </w:tc>
        <w:tc>
          <w:tcPr>
            <w:tcW w:type="dxa" w:w="23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Semantic signal strength alone</w:t>
            </w:r>
          </w:p>
        </w:tc>
        <w:tc>
          <w:tcPr>
            <w:tcW w:type="dxa" w:w="23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RQ4 baseline</w:t>
            </w:r>
          </w:p>
        </w:tc>
      </w:tr>
      <w:tr>
        <w:tc>
          <w:tcPr>
            <w:tcW w:type="dxa" w:w="6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18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XGBoost (constant)</w:t>
            </w:r>
          </w:p>
        </w:tc>
        <w:tc>
          <w:tcPr>
            <w:tcW w:type="dxa" w:w="20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~83 combined (independently scaled)</w:t>
            </w:r>
          </w:p>
        </w:tc>
        <w:tc>
          <w:tcPr>
            <w:tcW w:type="dxa" w:w="2300"/>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Does combination beat either type alone?</w:t>
            </w:r>
          </w:p>
        </w:tc>
        <w:tc>
          <w:tcPr>
            <w:tcW w:type="dxa" w:w="2326"/>
            <w:tcBorders>
              <w:top w:val="single" w:color="999999" w:sz="4"/>
              <w:left w:val="single" w:color="999999" w:sz="4"/>
              <w:bottom w:val="single" w:color="999999" w:sz="4"/>
              <w:right w:val="single" w:color="999999"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RQ4 answer</w:t>
            </w:r>
          </w:p>
        </w:tc>
      </w:tr>
      <w:tr>
        <w:tc>
          <w:tcPr>
            <w:tcW w:type="dxa" w:w="6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4 — PRIMARY</w:t>
            </w:r>
          </w:p>
        </w:tc>
        <w:tc>
          <w:tcPr>
            <w:tcW w:type="dxa" w:w="18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XGBoost + RF + MLP soft vote</w:t>
            </w:r>
          </w:p>
        </w:tc>
        <w:tc>
          <w:tcPr>
            <w:tcW w:type="dxa" w:w="20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~83 combined (independently scaled)</w:t>
            </w:r>
          </w:p>
        </w:tc>
        <w:tc>
          <w:tcPr>
            <w:tcW w:type="dxa" w:w="2300"/>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Classifier architecture effect — isolated from feature effect</w:t>
            </w:r>
          </w:p>
        </w:tc>
        <w:tc>
          <w:tcPr>
            <w:tcW w:type="dxa" w:w="2326"/>
            <w:tcBorders>
              <w:top w:val="single" w:color="999999" w:sz="4"/>
              <w:left w:val="single" w:color="999999" w:sz="4"/>
              <w:bottom w:val="single" w:color="999999" w:sz="4"/>
              <w:right w:val="single" w:color="999999"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RQ1 and RQ2 primary</w:t>
            </w:r>
          </w:p>
        </w:tc>
      </w:tr>
    </w:tbl>
    <w:p>
      <w:pPr>
        <w:spacing w:line="480"/>
      </w:pPr>
      <w:r>
        <w:rPr>
          <w:rFonts w:ascii="Times New Roman" w:cs="Times New Roman" w:eastAsia="Times New Roman" w:hAnsi="Times New Roman"/>
          <w:sz w:val="24"/>
          <w:szCs w:val="24"/>
        </w:rPr>
        <w:t xml:space="preserve"/>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This design directly answers RQ4. If Configuration 3 (combined features, XGBoost) outperforms both Configuration 1 (stylometric only) and Configuration 2 (semantic only), the combined feature set provides genuine complementarity. If Configuration 4 (ensemble) outperforms Configuration 3 (XGBoost only), multi-classifier voting adds benefit beyond the best feature-type combination. Configurations 1 and 2 establish the individual feature type ceilings.</w:t>
      </w:r>
    </w:p>
    <w:p>
      <w:pPr>
        <w:pStyle w:val="Heading2"/>
        <w:spacing w:after="200" w:before="480" w:line="480" w:lineRule="auto"/>
      </w:pPr>
      <w:r>
        <w:rPr>
          <w:rFonts w:ascii="Times New Roman" w:cs="Times New Roman" w:eastAsia="Times New Roman" w:hAnsi="Times New Roman"/>
          <w:b/>
          <w:bCs/>
          <w:sz w:val="24"/>
          <w:szCs w:val="24"/>
        </w:rPr>
        <w:t xml:space="preserve">3.10 SHAP Feature Survival Analysis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SHAP TreeExplainer is applied to the XGBoost component of the primary ensemble. Baseline SHAP values are computed on the 0% original test fold samples from cross-validation. Survival SHAP values are then computed on the 40% and 65% edit samples. Features that maintain high mean absolute SHAP importance relative to their baseline values are classified as edit-resistant; features whose importance drops substantially are edit-sensitive.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analysis operates at two distinct levels, and the distinction is maintained throughout reporting.</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At the stylometric level, SHAP values for each of the 8 named stylometric features are reported individually. Because these features are directly human-interpretable — sentence length variance, hedging frequency, comma density, and so on — their SHAP survival rankings provide genuinely actionable design guidance. A future attribution system built specifically for rewritten text should prioritise whichever stylometric features prove most edit-resistant. The top three edit-resistant and top three edit-sensitive stylometric features are identified and interpreted linguistically in the results.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At the semantic level, SHAP values for the approximately 75 PCA components are summed into a single aggregate semantic importance score at each edit level. This measures whether semantic signal as a whole survives rewriting — a meaningful finding in its own right. Individual PCA component SHAP values are not interpreted as granular feature-level guidance, because PCA components are linear combinations of the original 384 embedding dimensions and carry no direct linguistic meaning. This distinction is important: claiming that 'PCA component 12 is the most important feature' would be misleading, because component 12 is an abstract linear combination of hundreds of embedding dimensions. The aggregate approach is honest about what PCA component SHAP values can and cannot tell us.</w:t>
      </w:r>
    </w:p>
    <w:p>
      <w:pPr>
        <w:pStyle w:val="Heading2"/>
        <w:spacing w:after="200" w:before="480" w:line="480" w:lineRule="auto"/>
      </w:pPr>
      <w:r>
        <w:rPr>
          <w:rFonts w:ascii="Times New Roman" w:cs="Times New Roman" w:eastAsia="Times New Roman" w:hAnsi="Times New Roman"/>
          <w:b/>
          <w:bCs/>
          <w:sz w:val="24"/>
          <w:szCs w:val="24"/>
        </w:rPr>
        <w:t xml:space="preserve">3.11 Ethical Considerations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All data used in this study is either publicly available or generated by the researcher using legitimate API access under the respective provider's terms of service. The RAID benchmark is released under an open licence on HuggingFace and is freely available for academic research purposes. Claude and Gemini samples are collected through official Anthropic and Google APIs, and Grok samples through the official xAI API. All usage is within the academic research provisions of the respective API terms of service. No human participant data of any kind is collected or processed. The ethical clearance application submitted to the NSBM Faculty of Computing Ethics Committee confirms that this study does not involve human subjects.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rewriting scripts produced in this study replicate behaviour that students already perform using commercially available tools. The study does not introduce novel adversarial capabilities — it documents and measures an existing phenomenon. The contribution of this research is explicitly defensive: by identifying which attribution features are most vulnerable to rewriting pressure, the findings are intended to strengthen future attribution systems rather than weaken them.</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All findings will be reported with complete transparency regardless of direction. Null results, unexpected outcomes, threshold deviations, and methodological adjustments are documented and reported rather than suppressed. The study acknowledges a theoretical dual-use concern: identifying which stylometric features are most edit-sensitive could in principle guide targeted rewriting strategies. However, the features in question — sentence length variance, punctuation density, hedging frequency — are already well-documented in the forensic stylometry literature, and this study does not reveal novel attack vectors.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Data storage is on the researcher's local device with no cloud upload of raw sample text. All generated datasets will be made available in anonymised form upon project completion in support of open science principles. API keys and credentials are stored as environment variables and are not included in any published code, script, or supplementary file.</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2026-06-27T05:45:23.279Z</dcterms:created>
  <dcterms:modified xsi:type="dcterms:W3CDTF">2026-06-27T05:45:23.291Z</dcterms:modified>
</cp:coreProperties>
</file>

<file path=docProps/custom.xml><?xml version="1.0" encoding="utf-8"?>
<Properties xmlns="http://schemas.openxmlformats.org/officeDocument/2006/custom-properties" xmlns:vt="http://schemas.openxmlformats.org/officeDocument/2006/docPropsVTypes"/>
</file>