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AlphaOS</w:t>
      </w:r>
    </w:p>
    <w:p>
      <w:pPr>
        <w:spacing w:after="120"/>
        <w:jc w:val="center"/>
      </w:pPr>
      <w:r>
        <w:rPr>
          <w:rFonts w:ascii="Arial" w:cs="Arial" w:eastAsia="Arial" w:hAnsi="Arial"/>
          <w:color w:val="0F3460"/>
          <w:sz w:val="28"/>
          <w:szCs w:val="28"/>
        </w:rPr>
        <w:t xml:space="preserve">Agentic AI Research Platform for Hedge Funds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YC Application — Full Context &amp; Roadmap Document</w:t>
      </w:r>
    </w:p>
    <w:p>
      <w:pPr>
        <w:pBdr>
          <w:bottom w:val="single" w:color="0F3460" w:sz="6" w:space="1"/>
        </w:pBdr>
        <w:spacing w:after="4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Product One-Liner</w:t>
      </w:r>
    </w:p>
    <w:p>
      <w:pPr>
        <w:pBdr>
          <w:left w:val="single" w:color="0F3460" w:sz="12" w:space="10"/>
        </w:pBdr>
        <w:spacing w:after="200" w:before="2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An AI analyst that learns how your fund thinks — and finds the edges your team hasn’t seen yet.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Extended YC application version:</w:t>
      </w:r>
    </w:p>
    <w:p>
      <w:pPr>
        <w:pBdr>
          <w:left w:val="single" w:color="0F3460" w:sz="12" w:space="10"/>
        </w:pBdr>
        <w:spacing w:after="200" w:before="2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We build agentic AI that automates hedge fund research and uncovers data-driven market edges, tailored to each fund’s investment style.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The Problem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Hedge fund analysts spend 70–80% of their time on research grunt work — reading filings, pulling financials, building comps. This work 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Time-consuming: a single deep-dive report takes 2–3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Non-replicable: when an analyst leaves, their methodology and edge leaves with them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Inconsistent: output quality varies by seniority and energy levels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 scalable: a 5-person team can only cover so many companies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core pain is not just speed — it’s that institutional knowledge walks out the door every time an analyst moves on.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The Solution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AlphaOS is an agentic AI research platform that: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Automates deep-dive company research reports (10-Ks, earnings calls, financials, comps)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Surfaces market edges — anomalies, sentiment shifts, cross-sector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Learns the fund’s investment style over time — aggression level, sector bias, thesis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Ensures the analysis standard does not depend on who is doing it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analyst still makes the investment decision. AlphaOS makes sure they walk in with the best possible information.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Hard YC Objections &amp; How to Answer Them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Objection: “Analysts won’t trust AI for multi-million dollar decisions.”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Answer: We’re not replacing the decision. We’re replacing the 3-day prep. Every output is fully cited to source documents. Analysts review and approve. Think of it as a supercharged junior analyst that never sleeps.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Objection: “Funds won’t share their data with you.”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Answer: We use public data only (SEC EDGAR, earnings transcripts, macro data). The fund’s ‘style’ profile is stored in an isolated tenant — never shared, never trained on for other funds. SOC2 compliance from day one.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Objection: “Bloomberg / AlphaSense will just build this.”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Answer: They’re building search tools, not reasoning agents. We build end-to-end opinionated research output that adapts to the fund’s specific thesis style. That’s a product problem, not a data problem. They can’t catch up without rebuilding from scratch.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Objection: “Small funds can’t afford you, big funds won’t trust you.”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Answer: We start with emerging managers — $50M–$500M AUM funds with 2–4 analysts who feel this pain acutely and move fast. They’re our design partners. Big funds come after we have proof.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Build Roadmap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ingestion: SEC EDGAR, earnings transcripts, FRED macro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Raw data flowing into vector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Weeks 1–4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report engine: one company in, deep-dive report out, fully cited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 better than a junior analyst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Weeks 5–12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Edge layer: anomaly detection, sentiment shifts, cross-sector patterns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First ‘edge’ surfaced and validated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Weeks 13–20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Style adaptation: ingest fund’s past reports, fine-tune output 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 ‘feels like’ the fund wrote 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Weeks 21–30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Pilot: 1 fund free for 3 months, measure quality + time saved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Signed pilot + testimonial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Weeks 25–40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Data Sources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Start with (free, public, structured):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 EDGAR — 10-K, 10-Q, 8-K filings. Gold standard. Free.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Earnings call transcripts — Seeking Alpha, Motley Fool, company IR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Financial statements — Financial Modeling Prep API, Polygon.io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Macro data — FRED (Federal Reserve), World Bank, Quandl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News &amp; sentiment — NewsAPI, Benzinga RSS feeds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Do NOT touch yet (expensive, legally complex):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Satellite imagery, credit card data, web scraping social media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Alternative data providers (Earnest Research, Second Measure)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Prove the model on public data first. Alternative data is a Series A problem.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Technical Architecture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Next.js + TypeScript + Tailwind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Fast, hireable, great DX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AI/ML ecosystem is Python-native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Structured financial 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Vector 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Pinecone or Weaviate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 embeddings + retrieval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 / GPT-4 via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 not train your own yet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Apache Airflow or Prefect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Scheduled scrapers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S3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Raw filings and documents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 / Tenancy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Clerk or Auth0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Isolated fund tenants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AWS or GCP — web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desktop app, ever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What Most Founders Miss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claim must cite a source. A hedge fund acting on a fabricated revenue number will sue you.</w:t>
      </w:r>
      <w:r>
        <w:rPr>
          <w:rFonts w:ascii="Arial" w:cs="Arial" w:eastAsia="Arial" w:hAnsi="Arial"/>
          <w:sz w:val="22"/>
          <w:szCs w:val="22"/>
        </w:rPr>
        <w:t xml:space="preserve">Hallucination prevention — 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 do you grade output quality? Get a senior analyst to score 50 reports before you automate.</w:t>
      </w:r>
      <w:r>
        <w:rPr>
          <w:rFonts w:ascii="Arial" w:cs="Arial" w:eastAsia="Arial" w:hAnsi="Arial"/>
          <w:sz w:val="22"/>
          <w:szCs w:val="22"/>
        </w:rPr>
        <w:t xml:space="preserve">Evaluation framework — 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 calls on a 300-page 10-K get expensive. Track cost per report from week one.</w:t>
      </w:r>
      <w:r>
        <w:rPr>
          <w:rFonts w:ascii="Arial" w:cs="Arial" w:eastAsia="Arial" w:hAnsi="Arial"/>
          <w:sz w:val="22"/>
          <w:szCs w:val="22"/>
        </w:rPr>
        <w:t xml:space="preserve">Cost controls per report — 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Every report needs a timestamp, source documents used, and model version logged.</w:t>
      </w:r>
      <w:r>
        <w:rPr>
          <w:rFonts w:ascii="Arial" w:cs="Arial" w:eastAsia="Arial" w:hAnsi="Arial"/>
          <w:sz w:val="22"/>
          <w:szCs w:val="22"/>
        </w:rPr>
        <w:t xml:space="preserve">Audit trail — 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Fund A must never see Fund B’s data or style profile. Use separate DB schemas per tenant.</w:t>
      </w:r>
      <w:r>
        <w:rPr>
          <w:rFonts w:ascii="Arial" w:cs="Arial" w:eastAsia="Arial" w:hAnsi="Arial"/>
          <w:sz w:val="22"/>
          <w:szCs w:val="22"/>
        </w:rPr>
        <w:t xml:space="preserve">Multi-tenancy data isolation — 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is not investment advice. Attribution to source data must be explicit. Talk to a lawyer before launch.</w:t>
      </w:r>
      <w:r>
        <w:rPr>
          <w:rFonts w:ascii="Arial" w:cs="Arial" w:eastAsia="Arial" w:hAnsi="Arial"/>
          <w:sz w:val="22"/>
          <w:szCs w:val="22"/>
        </w:rPr>
        <w:t xml:space="preserve">Legal disclaimers — 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the process early. Compliance teams at funds will ask for it.</w:t>
      </w:r>
      <w:r>
        <w:rPr>
          <w:rFonts w:ascii="Arial" w:cs="Arial" w:eastAsia="Arial" w:hAnsi="Arial"/>
          <w:sz w:val="22"/>
          <w:szCs w:val="22"/>
        </w:rPr>
        <w:t xml:space="preserve">SOC2 compliance — 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What to Build This Week (MVP)</w:t>
      </w:r>
    </w:p>
    <w:p>
      <w:pPr>
        <w:pBdr>
          <w:left w:val="single" w:color="0F3460" w:sz="12" w:space="10"/>
        </w:pBdr>
        <w:spacing w:after="200" w:before="200"/>
        <w:ind w:left="72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 script that pulls a 10-K from SEC EDGAR, sends it through an LLM, and returns a 1-page business summary with citations. That’s it.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that works and reads well, everything else is buildable. This is your proof of concept.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Go-to-Market Strategy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Target customer (initial):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Emerging hedge fund managers — $50M to $500M AUM, 2–4 analysts, no in-house quant team. They feel the research pain acutely and move fast. They become your design partners.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Sales approach: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Offer 1 fund a free 3-month pilot in exchange for weekly feedback sessions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Measure: time saved per report, analyst satisfaction, edge accuracy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pilot data as your YC application proof + sales deck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Pricing model (v1):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Seat-based SaaS: $X per analyst seat per month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Usage tier: additional cost per report volume beyond 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 not charge per AUM — funds hate that model</w:t>
      </w:r>
    </w:p>
    <w:p>
      <w:pPr>
        <w:spacing w:after="120"/>
      </w:pPr>
      <w:r>
        <w:t xml:space="preserve"/>
      </w:r>
    </w:p>
    <w:p>
      <w:pPr>
        <w:pBdr>
          <w:top w:val="single" w:color="0F3460" w:sz="6" w:space="1"/>
        </w:pBdr>
        <w:spacing w:after="120" w:before="4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AlphaOS — Confidential. YC Application Context Document.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34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2026-03-22T14:26:05.624Z</dcterms:created>
  <dcterms:modified xsi:type="dcterms:W3CDTF">2026-03-22T14:26:05.625Z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