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TRIALSENSE · MODULE 3 — CHEAT SHEET</w:t>
      </w:r>
    </w:p>
    <w:p>
      <w:pPr>
        <w:pBdr>
          <w:bottom w:val="single" w:color="1F4E79" w:sz="8" w:space="2"/>
        </w:pBdr>
        <w:spacing w:after="160"/>
      </w:pPr>
      <w:r>
        <w:rPr>
          <w:rFonts w:ascii="Calibri" w:cs="Calibri" w:eastAsia="Calibri" w:hAnsi="Calibri"/>
          <w:color w:val="5B6470"/>
          <w:sz w:val="18"/>
          <w:szCs w:val="18"/>
        </w:rPr>
        <w:t xml:space="preserve">Hold this on the day. Everything here is defensible.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THE THREE SENTENCES</w:t>
      </w:r>
    </w:p>
    <w:tbl>
      <w:tblPr>
        <w:tblW w:type="dxa" w:w="9020"/>
        <w:tblBorders>
          <w:top w:val="single" w:color="9AA5B1" w:sz="4"/>
          <w:left w:val="single" w:color="C7CED6" w:sz="4"/>
          <w:bottom w:val="single" w:color="9AA5B1" w:sz="4"/>
          <w:right w:val="single" w:color="C7CED6" w:sz="4"/>
          <w:insideH w:val="single" w:color="D7DDE4" w:sz="3"/>
          <w:insideV w:val="single" w:color="D7DDE4" w:sz="3"/>
        </w:tblBorders>
      </w:tblPr>
      <w:tblGrid>
        <w:gridCol w:w="9020"/>
      </w:tblGrid>
      <w:tr>
        <w:trPr>
          <w:tblHeader w:val="false"/>
        </w:trPr>
        <w:tc>
          <w:tcPr>
            <w:tcW w:type="dxa" w:w="9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1.  "Existing tools tell a doctor what works today; we tell a company what will still work in ten years."</w:t>
            </w:r>
          </w:p>
        </w:tc>
      </w:tr>
      <w:tr>
        <w:trPr>
          <w:tblHeader w:val="false"/>
        </w:trPr>
        <w:tc>
          <w:tcPr>
            <w:tcW w:type="dxa" w:w="9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2.  "Two genes can give the identical resistance verdict and opposite business decisions — we're the only tool that separates them."</w:t>
            </w:r>
          </w:p>
        </w:tc>
      </w:tr>
      <w:tr>
        <w:trPr>
          <w:tblHeader w:val="false"/>
        </w:trPr>
        <w:tc>
          <w:tcPr>
            <w:tcW w:type="dxa" w:w="9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3.  "We swapped fake data for real data, our scores dropped, and we kept the swap."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THE NUMBERS</w:t>
      </w:r>
    </w:p>
    <w:tbl>
      <w:tblPr>
        <w:tblW w:type="dxa" w:w="9020"/>
        <w:tblBorders>
          <w:top w:val="single" w:color="9AA5B1" w:sz="4"/>
          <w:left w:val="single" w:color="C7CED6" w:sz="4"/>
          <w:bottom w:val="single" w:color="9AA5B1" w:sz="4"/>
          <w:right w:val="single" w:color="C7CED6" w:sz="4"/>
          <w:insideH w:val="single" w:color="D7DDE4" w:sz="3"/>
          <w:insideV w:val="single" w:color="D7DDE4" w:sz="3"/>
        </w:tblBorders>
      </w:tblPr>
      <w:tblGrid>
        <w:gridCol w:w="3300"/>
        <w:gridCol w:w="1700"/>
        <w:gridCol w:w="4020"/>
      </w:tblGrid>
      <w:tr>
        <w:trPr>
          <w:tblHeader/>
        </w:trPr>
        <w:tc>
          <w:tcPr>
            <w:tcW w:type="dxa" w:w="3300"/>
            <w:shd w:fill="E8EDF3" w:val="clear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What</w:t>
            </w:r>
          </w:p>
        </w:tc>
        <w:tc>
          <w:tcPr>
            <w:tcW w:type="dxa" w:w="1700"/>
            <w:shd w:fill="E8EDF3" w:val="clear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4020"/>
            <w:shd w:fill="E8EDF3" w:val="clear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Say this with it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Forecast backtest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4.93 pp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LEAD WITH THIS. Trained to 2020, predicted 2021–24. Govt data both sides — untunable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  — scope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184 preds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across 46 organism × antibiotic series; 85% within 10 points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Core model, unseen species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0.904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±0.021, worst 0.883. The honest headline. Add: labels were assigned by us, not lab-measured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Core model, unseen combos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0.841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Proves it reads genes individually, not whole-bacteria pictures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Gene detection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34/34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Zero false alarms. But we chose the test genes — integration check, not proof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Very major error (model alone)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7.41%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Said safe, was resistant. Why the gene layer overrides it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Deployed pipeline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 → 0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Gene override removed all 5, introduced none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Calibration error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0.100 → 0.0145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7× better. It now knows how confident to be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Dark Genome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0/12, 7/7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 false alarms; found every planted element. We designed the test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ICMR cross-check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49 compared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MOSTLY CONSISTENT, 5.1 pp avg gap, 1 disclosed over-call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Indian gene coverage</w:t>
            </w:r>
          </w:p>
        </w:tc>
        <w:tc>
          <w:tcPr>
            <w:tcW w:type="dxa" w:w="17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 of 8</w:t>
            </w:r>
          </w:p>
        </w:tc>
        <w:tc>
          <w:tcPr>
            <w:tcW w:type="dxa" w:w="40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ICMR-reported determinants covered; 3 added because our check flagged them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THE LIVE DEMO NUMBERS</w:t>
      </w:r>
    </w:p>
    <w:tbl>
      <w:tblPr>
        <w:tblW w:type="dxa" w:w="9020"/>
        <w:tblBorders>
          <w:top w:val="single" w:color="9AA5B1" w:sz="4"/>
          <w:left w:val="single" w:color="C7CED6" w:sz="4"/>
          <w:bottom w:val="single" w:color="9AA5B1" w:sz="4"/>
          <w:right w:val="single" w:color="C7CED6" w:sz="4"/>
          <w:insideH w:val="single" w:color="D7DDE4" w:sz="3"/>
          <w:insideV w:val="single" w:color="D7DDE4" w:sz="3"/>
        </w:tblBorders>
      </w:tblPr>
      <w:tblGrid>
        <w:gridCol w:w="2400"/>
        <w:gridCol w:w="6620"/>
      </w:tblGrid>
      <w:tr>
        <w:trPr>
          <w:tblHeader w:val="false"/>
        </w:trPr>
        <w:tc>
          <w:tcPr>
            <w:tcW w:type="dxa" w:w="24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Feature 1</w:t>
            </w:r>
          </w:p>
        </w:tc>
        <w:tc>
          <w:tcPr>
            <w:tcW w:type="dxa" w:w="66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K. pneumoniae × carbapenems: 66% today → 84% at 2035. Verdict CLOSED, runway 6 years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Feature 2</w:t>
            </w:r>
          </w:p>
        </w:tc>
        <w:tc>
          <w:tcPr>
            <w:tcW w:type="dxa" w:w="66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blaNDM-1 = DEAD END (metallo, zinc — no blocker exists). blaKPC-2 = SALVAGEABLE (serine — blockers exist)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Feature 3</w:t>
            </w:r>
          </w:p>
        </w:tc>
        <w:tc>
          <w:tcPr>
            <w:tcW w:type="dxa" w:w="66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 drugs × 4 bacteria in 15 s. Linezolid 4/4 = CLEAR LEADER. Meropenem blocked 3/4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Feature 5</w:t>
            </w:r>
          </w:p>
        </w:tc>
        <w:tc>
          <w:tcPr>
            <w:tcW w:type="dxa" w:w="66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₹100 crore + 5.5 years avoided × 45.5% chance of reaching Phase II = ₹45.5 crore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Feature 6</w:t>
            </w:r>
          </w:p>
        </w:tc>
        <w:tc>
          <w:tcPr>
            <w:tcW w:type="dxa" w:w="66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Plasmid 2.5× vs chromosomal 1.0×. mcr-1: discovery 2015 → multiple continents in ~18 months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9C4221"/>
          <w:sz w:val="21"/>
          <w:szCs w:val="21"/>
        </w:rPr>
        <w:t xml:space="preserve">IF CORNERED — OWN THESE FIRST</w:t>
      </w:r>
    </w:p>
    <w:tbl>
      <w:tblPr>
        <w:tblW w:type="dxa" w:w="9020"/>
        <w:tblBorders>
          <w:top w:val="single" w:color="9AA5B1" w:sz="4"/>
          <w:left w:val="single" w:color="C7CED6" w:sz="4"/>
          <w:bottom w:val="single" w:color="9AA5B1" w:sz="4"/>
          <w:right w:val="single" w:color="C7CED6" w:sz="4"/>
          <w:insideH w:val="single" w:color="D7DDE4" w:sz="3"/>
          <w:insideV w:val="single" w:color="D7DDE4" w:sz="3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E8EDF3" w:val="clear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Weakness</w:t>
            </w:r>
          </w:p>
        </w:tc>
        <w:tc>
          <w:tcPr>
            <w:tcW w:type="dxa" w:w="6420"/>
            <w:shd w:fill="E8EDF3" w:val="clear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Labels aren't lab-measured</w:t>
            </w:r>
          </w:p>
        </w:tc>
        <w:tc>
          <w:tcPr>
            <w:tcW w:type="dxa" w:w="64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"We assigned them from textbook microbiology. So 0.904 means it recovers our rule from DNA — not that it matches a lab."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Test strains aren't held out</w:t>
            </w:r>
          </w:p>
        </w:tc>
        <w:tc>
          <w:tcPr>
            <w:tcW w:type="dxa" w:w="64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"We chose their genes. That 100% is an integration check. The held-out-species 0.904 is the real number."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One over-call</w:t>
            </w:r>
          </w:p>
        </w:tc>
        <w:tc>
          <w:tcPr>
            <w:tcW w:type="dxa" w:w="64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"S. aureus × glycopeptides: we read 28%, ICMR says 0%. Our class mapping is too broad there. Open item."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Feature 5 has no data</w:t>
            </w:r>
          </w:p>
        </w:tc>
        <w:tc>
          <w:tcPr>
            <w:tcW w:type="dxa" w:w="64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"No model, no validation — arithmetic on assumptions you can change. What holds is the shape: ₹0.02 crore vs ₹100 crore."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Feature 6 multipliers</w:t>
            </w:r>
          </w:p>
        </w:tc>
        <w:tc>
          <w:tcPr>
            <w:tcW w:type="dxa" w:w="64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"Reasoned orders of magnitude, not fitted. The ordering is solid microbiology; the numbers are our judgement."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B3261E"/>
          <w:sz w:val="21"/>
          <w:szCs w:val="21"/>
        </w:rPr>
        <w:t xml:space="preserve">NEVER SAY</w:t>
      </w:r>
    </w:p>
    <w:tbl>
      <w:tblPr>
        <w:tblW w:type="dxa" w:w="9020"/>
        <w:tblBorders>
          <w:top w:val="single" w:color="9AA5B1" w:sz="4"/>
          <w:left w:val="single" w:color="C7CED6" w:sz="4"/>
          <w:bottom w:val="single" w:color="9AA5B1" w:sz="4"/>
          <w:right w:val="single" w:color="C7CED6" w:sz="4"/>
          <w:insideH w:val="single" w:color="D7DDE4" w:sz="3"/>
          <w:insideV w:val="single" w:color="D7DDE4" w:sz="3"/>
        </w:tblBorders>
      </w:tblPr>
      <w:tblGrid>
        <w:gridCol w:w="4400"/>
        <w:gridCol w:w="4620"/>
      </w:tblGrid>
      <w:tr>
        <w:trPr>
          <w:tblHeader w:val="false"/>
        </w:trPr>
        <w:tc>
          <w:tcPr>
            <w:tcW w:type="dxa" w:w="44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✕  "Our model is 90% accurate"</w:t>
            </w:r>
          </w:p>
        </w:tc>
        <w:tc>
          <w:tcPr>
            <w:tcW w:type="dxa" w:w="46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→ name the test: 0.904 held-out species / 4.93 pp backtest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✕  "We save companies ₹100 crore"</w:t>
            </w:r>
          </w:p>
        </w:tc>
        <w:tc>
          <w:tcPr>
            <w:tcW w:type="dxa" w:w="46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→ "modelled asymmetry, ~₹45 crore expected value, not a measured saving"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19"/>
                <w:szCs w:val="19"/>
              </w:rPr>
              <w:t xml:space="preserve">✕  "It proves the drug will fail"</w:t>
            </w:r>
          </w:p>
        </w:tc>
        <w:tc>
          <w:tcPr>
            <w:tcW w:type="dxa" w:w="4620"/>
            <w:tcMar>
              <w:top w:type="dxa" w:w="64"/>
              <w:left w:type="dxa" w:w="105"/>
              <w:bottom w:type="dxa" w:w="64"/>
              <w:right w:type="dxa" w:w="105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→ "it flags candidates for expert review earlier; it replaces no existing check"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B3261E" w:sz="4"/>
          <w:left w:val="single" w:color="B3261E" w:sz="18"/>
          <w:bottom w:val="single" w:color="B3261E" w:sz="4"/>
          <w:right w:val="single" w:color="B3261E" w:sz="4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7F9FB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If you don't know — say "we haven't tested that yet" and stop. Judges reward it.</w:t>
            </w:r>
          </w:p>
        </w:tc>
      </w:tr>
    </w:tbl>
    <w:sectPr>
      <w:footerReference w:type="default" r:id="rId7"/>
      <w:pgSz w:w="11906" w:h="16838" w:orient="portrait"/>
      <w:pgMar w:top="1240" w:right="1360" w:bottom="124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0"/>
        <w:sz w:val="17"/>
        <w:szCs w:val="17"/>
      </w:rPr>
      <w:t xml:space="preserve">TrialSense · Module 3 Cheat Sheet · page </w:t>
    </w:r>
    <w:r>
      <w:rPr>
        <w:rFonts w:ascii="Calibri" w:cs="Calibri" w:eastAsia="Calibri" w:hAnsi="Calibri"/>
        <w:color w:val="5B647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0"/>
        <w:sz w:val="17"/>
        <w:szCs w:val="17"/>
      </w:rPr>
      <w:t xml:space="preserve"> of </w:t>
    </w:r>
    <w:r>
      <w:rPr>
        <w:rFonts w:ascii="Calibri" w:cs="Calibri" w:eastAsia="Calibri" w:hAnsi="Calibri"/>
        <w:color w:val="5B647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TrialSense Module 3 — Cheat Sheet</dc:title>
  <dc:creator>Team Varchasva</dc:creator>
  <cp:lastModifiedBy>Un-named</cp:lastModifiedBy>
  <cp:revision>1</cp:revision>
  <dcterms:created xsi:type="dcterms:W3CDTF">2026-09-26T10:53:14.851Z</dcterms:created>
  <dcterms:modified xsi:type="dcterms:W3CDTF">2026-09-26T10:53:14.851Z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