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80"/>
        <w:jc w:val="center"/>
      </w:pPr>
      <w:r>
        <w:rPr>
          <w:rFonts w:ascii="Calibri" w:cs="Calibri" w:eastAsia="Calibri" w:hAnsi="Calibri"/>
          <w:b/>
          <w:bCs/>
          <w:color w:val="1F4E79"/>
          <w:sz w:val="56"/>
          <w:szCs w:val="56"/>
        </w:rPr>
        <w:t xml:space="preserve">TRIALSENSE</w:t>
      </w:r>
    </w:p>
    <w:p>
      <w:pPr>
        <w:spacing w:after="400"/>
        <w:jc w:val="center"/>
      </w:pPr>
      <w:r>
        <w:rPr>
          <w:rFonts w:ascii="Calibri" w:cs="Calibri" w:eastAsia="Calibri" w:hAnsi="Calibri"/>
          <w:i/>
          <w:iCs/>
          <w:color w:val="5B6470"/>
          <w:sz w:val="24"/>
          <w:szCs w:val="24"/>
        </w:rPr>
        <w:t xml:space="preserve">The trial before the trial</w:t>
      </w:r>
    </w:p>
    <w:p>
      <w:pPr>
        <w:spacing w:after="100"/>
        <w:jc w:val="center"/>
      </w:pPr>
      <w:r>
        <w:rPr>
          <w:rFonts w:ascii="Calibri" w:cs="Calibri" w:eastAsia="Calibri" w:hAnsi="Calibri"/>
          <w:b/>
          <w:bCs/>
          <w:color w:val="1A1A1A"/>
          <w:sz w:val="34"/>
          <w:szCs w:val="34"/>
        </w:rPr>
        <w:t xml:space="preserve">Module 3 — Antimicrobial Resistance Intelligence</w:t>
      </w:r>
    </w:p>
    <w:p>
      <w:pPr>
        <w:spacing w:after="700"/>
        <w:jc w:val="center"/>
      </w:pPr>
      <w:r>
        <w:rPr>
          <w:rFonts w:ascii="Calibri" w:cs="Calibri" w:eastAsia="Calibri" w:hAnsi="Calibri"/>
          <w:color w:val="5B6470"/>
          <w:sz w:val="26"/>
          <w:szCs w:val="26"/>
        </w:rPr>
        <w:t xml:space="preserve">Complete Technical &amp; Validation Report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Prepared for</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Mentor / expert technical review, validation and remarks</w:t>
            </w:r>
          </w:p>
        </w:tc>
      </w:tr>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Project</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 — computational pre-trial risk screening for drug candidates</w:t>
            </w:r>
          </w:p>
        </w:tc>
      </w:tr>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Team</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Team Varchasva — Hemanya Gillurkar, Himanshu Satpute, Hitaishi Bodele, Harsh Agarwal</w:t>
            </w:r>
          </w:p>
        </w:tc>
      </w:tr>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Institution</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Vishwakarma Institute of Technology, Pune</w:t>
            </w:r>
          </w:p>
        </w:tc>
      </w:tr>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Event</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Segue 3.0 — Global Design Thinking Challenge</w:t>
            </w:r>
          </w:p>
        </w:tc>
      </w:tr>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Report date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26 September 2026</w:t>
            </w:r>
          </w:p>
        </w:tc>
      </w:tr>
      <w:tr>
        <w:trPr>
          <w:tblHeader w:val="false"/>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Module status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Working prototype; all figures in this report are machine-reproducible (see §1.3)</w:t>
            </w:r>
          </w:p>
        </w:tc>
      </w:tr>
    </w:tbl>
    <w:p>
      <w:pPr>
        <w:spacing w:after="500"/>
      </w:pPr>
      <w:r>
        <w:t xml:space="preserve"/>
      </w:r>
    </w:p>
    <w:p>
      <w:pPr>
        <w:jc w:val="center"/>
      </w:pPr>
      <w:r>
        <w:rPr>
          <w:rFonts w:ascii="Calibri" w:cs="Calibri" w:eastAsia="Calibri" w:hAnsi="Calibri"/>
          <w:i/>
          <w:iCs/>
          <w:color w:val="5B6470"/>
          <w:sz w:val="19"/>
          <w:szCs w:val="19"/>
        </w:rPr>
        <w:t xml:space="preserve">Every performance figure quoted here is regenerated by the commands in §1.3. Where a number is weak, unfavourable or unverified, it is stated as such — reviewers are asked to test those statements first.</w:t>
      </w:r>
    </w:p>
    <w:p>
      <w:r>
        <w:br w:type="page"/>
      </w:r>
    </w:p>
    <w:p>
      <w:pPr>
        <w:pStyle w:val="Heading1"/>
        <w:spacing w:after="160" w:before="360"/>
      </w:pPr>
      <w:r>
        <w:rPr>
          <w:rFonts w:ascii="Calibri" w:cs="Calibri" w:eastAsia="Calibri" w:hAnsi="Calibri"/>
          <w:b/>
          <w:bCs/>
          <w:color w:val="1F4E79"/>
          <w:sz w:val="30"/>
          <w:szCs w:val="30"/>
        </w:rPr>
        <w:t xml:space="preserve">Contents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700"/>
        <w:gridCol w:w="6300"/>
        <w:gridCol w:w="2020"/>
      </w:tblGrid>
      <w:tr>
        <w:trPr>
          <w:tblHeader/>
        </w:trPr>
        <w:tc>
          <w:tcPr>
            <w:tcW w:type="dxa" w:w="7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t>
            </w:r>
          </w:p>
        </w:tc>
        <w:tc>
          <w:tcPr>
            <w:tcW w:type="dxa" w:w="6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Section</w:t>
            </w:r>
          </w:p>
        </w:tc>
        <w:tc>
          <w:tcPr>
            <w:tcW w:type="dxa" w:w="20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Focus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Purpose, scope and how to reproduce every figure</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Orientation</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Problem statement</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Why Module 3 exists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Objectives</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What it must deliver</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4</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Tech stack</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Languages, libraries, tools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Models and datasets</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ML design + data provenance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6</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What is real and what is constructed</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Honesty boundary — read before validating</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7</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Core architecture: the two-layer scan</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Pipeline and decision thresholds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8</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Features of Module 3 (six analyses)</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Detailed feature breakdown</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9</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Integration with other modules</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Dependencies and data flow</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10</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Validation and results (seven checks)</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Evidence</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11</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Known limitations and open items</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Declared weaknesses</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12</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Conclusion</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Assessment</w:t>
            </w:r>
          </w:p>
        </w:tc>
      </w:tr>
      <w:tr>
        <w:trPr>
          <w:tblHeader w:val="false"/>
        </w:trPr>
        <w:tc>
          <w:tcPr>
            <w:tcW w:type="dxa" w:w="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13</w:t>
            </w:r>
          </w:p>
        </w:tc>
        <w:tc>
          <w:tcPr>
            <w:tcW w:type="dxa" w:w="6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Mentor remarks and sign-off</w:t>
            </w:r>
          </w:p>
        </w:tc>
        <w:tc>
          <w:tcPr>
            <w:tcW w:type="dxa" w:w="2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Reviewer section</w:t>
            </w:r>
          </w:p>
        </w:tc>
      </w:tr>
    </w:tbl>
    <w:p>
      <w:r>
        <w:br w:type="page"/>
      </w:r>
    </w:p>
    <w:p>
      <w:pPr>
        <w:pStyle w:val="Heading1"/>
        <w:spacing w:after="160" w:before="360"/>
      </w:pPr>
      <w:r>
        <w:rPr>
          <w:rFonts w:ascii="Calibri" w:cs="Calibri" w:eastAsia="Calibri" w:hAnsi="Calibri"/>
          <w:b/>
          <w:bCs/>
          <w:color w:val="1F4E79"/>
          <w:sz w:val="30"/>
          <w:szCs w:val="30"/>
        </w:rPr>
        <w:t xml:space="preserve">1. Purpose, Scope and Reproduction</w:t>
      </w:r>
    </w:p>
    <w:p>
      <w:pPr>
        <w:pStyle w:val="Heading2"/>
        <w:spacing w:after="120" w:before="260"/>
      </w:pPr>
      <w:r>
        <w:rPr>
          <w:rFonts w:ascii="Calibri" w:cs="Calibri" w:eastAsia="Calibri" w:hAnsi="Calibri"/>
          <w:b/>
          <w:bCs/>
          <w:color w:val="1A1A1A"/>
          <w:sz w:val="24"/>
          <w:szCs w:val="24"/>
        </w:rPr>
        <w:t xml:space="preserve">1.1 Purpose of this document</w:t>
      </w:r>
    </w:p>
    <w:p>
      <w:pPr>
        <w:spacing w:after="120" w:line="276"/>
      </w:pPr>
      <w:r>
        <w:rPr>
          <w:rFonts w:ascii="Calibri" w:cs="Calibri" w:eastAsia="Calibri" w:hAnsi="Calibri"/>
          <w:color w:val="1A1A1A"/>
          <w:sz w:val="21"/>
          <w:szCs w:val="21"/>
        </w:rPr>
        <w:t xml:space="preserve">This report documents Module 3 of TrialSense in sufficient technical detail for an independent reviewer with a background in microbiology, pharmacology or machine learning to judge whether its claims are sound. It covers the problem addressed, the architecture, the data provenance, the six analytical features built on the core model, the integration with the other two modules, and the seven-part validation suite.</w:t>
      </w:r>
    </w:p>
    <w:p>
      <w:pPr>
        <w:spacing w:after="120" w:line="276"/>
      </w:pPr>
      <w:r>
        <w:rPr>
          <w:rFonts w:ascii="Calibri" w:cs="Calibri" w:eastAsia="Calibri" w:hAnsi="Calibri"/>
          <w:color w:val="1A1A1A"/>
          <w:sz w:val="21"/>
          <w:szCs w:val="21"/>
        </w:rPr>
        <w:t xml:space="preserve">The report is deliberately written to expose the module's weaknesses alongside its results. Section 6 separates what is genuinely real from what is constructed, and Section 11 lists the defects and open items the team is currently aware of, including one stale figure in the source comments and one measured over-call. A reviewer's time is best spent on those sections.</w:t>
      </w:r>
    </w:p>
    <w:p>
      <w:pPr>
        <w:pStyle w:val="Heading2"/>
        <w:spacing w:after="120" w:before="260"/>
      </w:pPr>
      <w:r>
        <w:rPr>
          <w:rFonts w:ascii="Calibri" w:cs="Calibri" w:eastAsia="Calibri" w:hAnsi="Calibri"/>
          <w:b/>
          <w:bCs/>
          <w:color w:val="1A1A1A"/>
          <w:sz w:val="24"/>
          <w:szCs w:val="24"/>
        </w:rPr>
        <w:t xml:space="preserve">1.2 Scope</w:t>
      </w:r>
    </w:p>
    <w:p>
      <w:pPr>
        <w:spacing w:after="120" w:line="276"/>
      </w:pPr>
      <w:r>
        <w:rPr>
          <w:rFonts w:ascii="Calibri" w:cs="Calibri" w:eastAsia="Calibri" w:hAnsi="Calibri"/>
          <w:color w:val="1A1A1A"/>
          <w:sz w:val="21"/>
          <w:szCs w:val="21"/>
        </w:rPr>
        <w:t xml:space="preserve">In scope: Module 3 — antimicrobial resistance (AMR) intelligence. This is the component that reads a bacterial isolate's genomic data and reports which antibiotic classes that organism already defeats, then builds six decision-support analyses on top of that scan.</w:t>
      </w:r>
    </w:p>
    <w:p>
      <w:pPr>
        <w:spacing w:after="120" w:line="276"/>
      </w:pPr>
      <w:r>
        <w:rPr>
          <w:rFonts w:ascii="Calibri" w:cs="Calibri" w:eastAsia="Calibri" w:hAnsi="Calibri"/>
          <w:color w:val="1A1A1A"/>
          <w:sz w:val="21"/>
          <w:szCs w:val="21"/>
        </w:rPr>
        <w:t xml:space="preserve">Out of scope, except where Module 3 depends on them: Module 1 (drug–drug interaction screening) and Module 2 (patient-specific toxicity and renal study design). Both are referenced in Section 9 where their outputs combine with Module 3's.</w:t>
      </w:r>
    </w:p>
    <w:p>
      <w:pPr>
        <w:pStyle w:val="Heading2"/>
        <w:spacing w:after="120" w:before="260"/>
      </w:pPr>
      <w:r>
        <w:rPr>
          <w:rFonts w:ascii="Calibri" w:cs="Calibri" w:eastAsia="Calibri" w:hAnsi="Calibri"/>
          <w:b/>
          <w:bCs/>
          <w:color w:val="1A1A1A"/>
          <w:sz w:val="24"/>
          <w:szCs w:val="24"/>
        </w:rPr>
        <w:t xml:space="preserve">1.3 How to reproduce every figure in this report</w:t>
      </w:r>
    </w:p>
    <w:p>
      <w:pPr>
        <w:spacing w:after="120" w:line="276"/>
      </w:pPr>
      <w:r>
        <w:rPr>
          <w:rFonts w:ascii="Calibri" w:cs="Calibri" w:eastAsia="Calibri" w:hAnsi="Calibri"/>
          <w:color w:val="1A1A1A"/>
          <w:sz w:val="21"/>
          <w:szCs w:val="21"/>
        </w:rPr>
        <w:t xml:space="preserve">No number in this report was typed by hand from memory. Each is produced by one of the following commands, run from the repository root:</w:t>
      </w:r>
    </w:p>
    <w:p>
      <w:pPr>
        <w:shd w:fill="F2F4F7" w:val="clear"/>
        <w:spacing w:after="140" w:before="100"/>
        <w:ind w:left="200" w:right="200"/>
      </w:pPr>
      <w:r>
        <w:rPr>
          <w:rFonts w:ascii="Consolas" w:cs="Consolas" w:eastAsia="Consolas" w:hAnsi="Consolas"/>
          <w:color w:val="1A1A1A"/>
          <w:sz w:val="19"/>
          <w:szCs w:val="19"/>
        </w:rPr>
        <w:t xml:space="preserve">python train.py            # trains + caches both models, writes models/metrics.json</w:t>
      </w:r>
    </w:p>
    <w:p>
      <w:pPr>
        <w:shd w:fill="F2F4F7" w:val="clear"/>
        <w:spacing w:after="140" w:before="100"/>
        <w:ind w:left="200" w:right="200"/>
      </w:pPr>
      <w:r>
        <w:rPr>
          <w:rFonts w:ascii="Consolas" w:cs="Consolas" w:eastAsia="Consolas" w:hAnsi="Consolas"/>
          <w:color w:val="1A1A1A"/>
          <w:sz w:val="19"/>
          <w:szCs w:val="19"/>
        </w:rPr>
        <w:t xml:space="preserve">python validate_module3.py # the seven-part Module 3 proof suite -&gt; models/validation.json</w:t>
      </w:r>
    </w:p>
    <w:p>
      <w:pPr>
        <w:shd w:fill="F2F4F7" w:val="clear"/>
        <w:spacing w:after="140" w:before="100"/>
        <w:ind w:left="200" w:right="200"/>
      </w:pPr>
      <w:r>
        <w:rPr>
          <w:rFonts w:ascii="Consolas" w:cs="Consolas" w:eastAsia="Consolas" w:hAnsi="Consolas"/>
          <w:color w:val="1A1A1A"/>
          <w:sz w:val="19"/>
          <w:szCs w:val="19"/>
        </w:rPr>
        <w:t xml:space="preserve">python smoke_test.py       # 57 end-to-end integration checks, no browser required</w:t>
      </w:r>
    </w:p>
    <w:p>
      <w:pPr>
        <w:shd w:fill="F2F4F7" w:val="clear"/>
        <w:spacing w:after="140" w:before="100"/>
        <w:ind w:left="200" w:right="200"/>
      </w:pPr>
      <w:r>
        <w:rPr>
          <w:rFonts w:ascii="Consolas" w:cs="Consolas" w:eastAsia="Consolas" w:hAnsi="Consolas"/>
          <w:color w:val="1A1A1A"/>
          <w:sz w:val="19"/>
          <w:szCs w:val="19"/>
        </w:rPr>
        <w:t xml:space="preserve">streamlit run app.py       # the working prototype UI (5 tabs)</w:t>
      </w:r>
    </w:p>
    <w:p>
      <w:pPr>
        <w:spacing w:after="120" w:line="276"/>
      </w:pPr>
      <w:r>
        <w:rPr>
          <w:rFonts w:ascii="Calibri" w:cs="Calibri" w:eastAsia="Calibri" w:hAnsi="Calibri"/>
          <w:i/>
          <w:iCs/>
          <w:color w:val="5B6470"/>
          <w:sz w:val="21"/>
          <w:szCs w:val="21"/>
        </w:rPr>
        <w:t xml:space="preserve">Section 10 states, for each result, which file and key it comes from. A reviewer who disagrees with a figure can regenerate it directly.</w:t>
      </w:r>
    </w:p>
    <w:p>
      <w:r>
        <w:br w:type="page"/>
      </w:r>
    </w:p>
    <w:p>
      <w:pPr>
        <w:pStyle w:val="Heading1"/>
        <w:spacing w:after="160" w:before="360"/>
      </w:pPr>
      <w:r>
        <w:rPr>
          <w:rFonts w:ascii="Calibri" w:cs="Calibri" w:eastAsia="Calibri" w:hAnsi="Calibri"/>
          <w:b/>
          <w:bCs/>
          <w:color w:val="1F4E79"/>
          <w:sz w:val="30"/>
          <w:szCs w:val="30"/>
        </w:rPr>
        <w:t xml:space="preserve">2. Problem Statement</w:t>
      </w:r>
    </w:p>
    <w:p>
      <w:pPr>
        <w:pStyle w:val="Heading2"/>
        <w:spacing w:after="120" w:before="260"/>
      </w:pPr>
      <w:r>
        <w:rPr>
          <w:rFonts w:ascii="Calibri" w:cs="Calibri" w:eastAsia="Calibri" w:hAnsi="Calibri"/>
          <w:b/>
          <w:bCs/>
          <w:color w:val="1A1A1A"/>
          <w:sz w:val="24"/>
          <w:szCs w:val="24"/>
        </w:rPr>
        <w:t xml:space="preserve">2.1 The commercial problem</w:t>
      </w:r>
    </w:p>
    <w:p>
      <w:pPr>
        <w:spacing w:after="120" w:line="276"/>
      </w:pPr>
      <w:r>
        <w:rPr>
          <w:rFonts w:ascii="Calibri" w:cs="Calibri" w:eastAsia="Calibri" w:hAnsi="Calibri"/>
          <w:color w:val="1A1A1A"/>
          <w:sz w:val="21"/>
          <w:szCs w:val="21"/>
        </w:rPr>
        <w:t xml:space="preserve">For an antibacterial drug candidate, the question that determines commercial viability is not only "is this molecule safe?" but "will the organisms it targets still be susceptible by the time it reaches the market?".</w:t>
      </w:r>
    </w:p>
    <w:p>
      <w:pPr>
        <w:spacing w:after="120" w:line="276"/>
      </w:pPr>
      <w:r>
        <w:rPr>
          <w:rFonts w:ascii="Calibri" w:cs="Calibri" w:eastAsia="Calibri" w:hAnsi="Calibri"/>
          <w:color w:val="1A1A1A"/>
          <w:sz w:val="21"/>
          <w:szCs w:val="21"/>
        </w:rPr>
        <w:t xml:space="preserve">Antibacterial development runs on a decade-long timeline. A candidate entering preclinical work today reaches launch in the mid-2030s. Resistance, meanwhile, is a moving target: it rises year on year, and it spreads between bacterial species horizontally, not merely from parent cell to daughter cell. A programme can therefore be scientifically successful and commercially dead — the drug works exactly as designed, against an organism that has meanwhile become resistant to its entire class.</w:t>
      </w:r>
    </w:p>
    <w:p>
      <w:pPr>
        <w:spacing w:after="120" w:line="276"/>
      </w:pPr>
      <w:r>
        <w:rPr>
          <w:rFonts w:ascii="Calibri" w:cs="Calibri" w:eastAsia="Calibri" w:hAnsi="Calibri"/>
          <w:color w:val="1A1A1A"/>
          <w:sz w:val="21"/>
          <w:szCs w:val="21"/>
        </w:rPr>
        <w:t xml:space="preserve">Discovering this during Phase III is a programme-ending event. By that point the sponsor has committed the overwhelming majority of the development budget.</w:t>
      </w:r>
    </w:p>
    <w:p>
      <w:pPr>
        <w:pStyle w:val="Heading2"/>
        <w:spacing w:after="120" w:before="260"/>
      </w:pPr>
      <w:r>
        <w:rPr>
          <w:rFonts w:ascii="Calibri" w:cs="Calibri" w:eastAsia="Calibri" w:hAnsi="Calibri"/>
          <w:b/>
          <w:bCs/>
          <w:color w:val="1A1A1A"/>
          <w:sz w:val="24"/>
          <w:szCs w:val="24"/>
        </w:rPr>
        <w:t xml:space="preserve">2.2 Why existing tools do not answer it</w:t>
      </w:r>
    </w:p>
    <w:p>
      <w:pPr>
        <w:spacing w:after="120" w:line="276"/>
      </w:pPr>
      <w:r>
        <w:rPr>
          <w:rFonts w:ascii="Calibri" w:cs="Calibri" w:eastAsia="Calibri" w:hAnsi="Calibri"/>
          <w:color w:val="1A1A1A"/>
          <w:sz w:val="21"/>
          <w:szCs w:val="21"/>
        </w:rPr>
        <w:t xml:space="preserve">Tools to detect resistance genes from bacterial genomes already exist and are excellent: NCBI's AMRFinderPlus, ResFinder, and CARD/RGI. Module 3 does not attempt to outperform them at that task. The gap is in what question those tools are built to answer.</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3000"/>
        <w:gridCol w:w="3010"/>
        <w:gridCol w:w="3010"/>
      </w:tblGrid>
      <w:tr>
        <w:trPr>
          <w:tblHeader/>
        </w:trPr>
        <w:tc>
          <w:tcPr>
            <w:tcW w:type="dxa" w:w="30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Concern</w:t>
            </w:r>
          </w:p>
        </w:tc>
        <w:tc>
          <w:tcPr>
            <w:tcW w:type="dxa" w:w="301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What existing tools provide</w:t>
            </w:r>
          </w:p>
        </w:tc>
        <w:tc>
          <w:tcPr>
            <w:tcW w:type="dxa" w:w="301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What an R&amp;D portfolio team needs</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Time horizon</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Resistance as it stands today, for a clinician treating a patient now</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Resistance as it will stand in the launch year, 8–12 years out</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Granularity of verdict</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 resistance call per gene or per class</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Whether a resistant verdict is commercially fixable or fatal</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Unit of analysis</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One isolate at a time</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 candidates against M target organisms, decided at portfolio level</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Closed vs open world</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Matches against a known reference database; silence means "no known gene found"</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Warning when something present cannot be named at all</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Output units</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 scientific fact (resistant / susceptible)</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 funding consequence, in money and years</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Rate of change</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 static yes / no</w:t>
            </w:r>
          </w:p>
        </w:tc>
        <w:tc>
          <w:tcPr>
            <w:tcW w:type="dxa" w:w="301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How fast the resistance is spreading</w:t>
            </w:r>
          </w:p>
        </w:tc>
      </w:tr>
    </w:tbl>
    <w:p>
      <w:pPr>
        <w:spacing w:after="120" w:line="276"/>
      </w:pPr>
      <w:r>
        <w:rPr>
          <w:rFonts w:ascii="Calibri" w:cs="Calibri" w:eastAsia="Calibri" w:hAnsi="Calibri"/>
          <w:color w:val="1A1A1A"/>
          <w:sz w:val="21"/>
          <w:szCs w:val="21"/>
        </w:rPr>
        <w:t xml:space="preserve">Each of the six features in Section 8 exists to close one of those gaps. None of them replaces a gene detector; they sit on top of one.</w:t>
      </w:r>
    </w:p>
    <w:p>
      <w:pPr>
        <w:pStyle w:val="Heading2"/>
        <w:spacing w:after="120" w:before="260"/>
      </w:pPr>
      <w:r>
        <w:rPr>
          <w:rFonts w:ascii="Calibri" w:cs="Calibri" w:eastAsia="Calibri" w:hAnsi="Calibri"/>
          <w:b/>
          <w:bCs/>
          <w:color w:val="1A1A1A"/>
          <w:sz w:val="24"/>
          <w:szCs w:val="24"/>
        </w:rPr>
        <w:t xml:space="preserve">2.3 The Indian relevance</w:t>
      </w:r>
    </w:p>
    <w:p>
      <w:pPr>
        <w:spacing w:after="120" w:line="276"/>
      </w:pPr>
      <w:r>
        <w:rPr>
          <w:rFonts w:ascii="Calibri" w:cs="Calibri" w:eastAsia="Calibri" w:hAnsi="Calibri"/>
          <w:color w:val="1A1A1A"/>
          <w:sz w:val="21"/>
          <w:szCs w:val="21"/>
        </w:rPr>
        <w:t xml:space="preserve">The organisms Module 3 targets are disproportionately an Indian problem, which is why the surveillance layer is built on Indian national data rather than Western data. ICMR's own national surveillance shows carbapenem resistance in Klebsiella pneumoniae rising from 35.2% (imipenem, 2016) to 68.8% (2024), and ciprofloxacin non-susceptibility in Salmonella Typhi reaching 98.7% by 2024. India also carries the world's largest drug-resistant tuberculosis burden, and NDM-1 carbapenemase is widespread across South Asian hospitals.</w:t>
      </w:r>
    </w:p>
    <w:p>
      <w:pPr>
        <w:spacing w:after="120" w:line="276"/>
      </w:pPr>
      <w:r>
        <w:rPr>
          <w:rFonts w:ascii="Calibri" w:cs="Calibri" w:eastAsia="Calibri" w:hAnsi="Calibri"/>
          <w:color w:val="1A1A1A"/>
          <w:sz w:val="21"/>
          <w:szCs w:val="21"/>
        </w:rPr>
        <w:t xml:space="preserve">Indian pharmaceutical companies reinvest a small fraction of revenue into research relative to global firms, so they absorb far fewer late-stage failures before a promising programme is shelved. A screening step that costs a laptop and an afternoon is therefore worth disproportionately more here than it is to a large multinational.</w:t>
      </w:r>
    </w:p>
    <w:p>
      <w:r>
        <w:br w:type="page"/>
      </w:r>
    </w:p>
    <w:p>
      <w:pPr>
        <w:pStyle w:val="Heading1"/>
        <w:spacing w:after="160" w:before="360"/>
      </w:pPr>
      <w:r>
        <w:rPr>
          <w:rFonts w:ascii="Calibri" w:cs="Calibri" w:eastAsia="Calibri" w:hAnsi="Calibri"/>
          <w:b/>
          <w:bCs/>
          <w:color w:val="1F4E79"/>
          <w:sz w:val="30"/>
          <w:szCs w:val="30"/>
        </w:rPr>
        <w:t xml:space="preserve">3. Objectives</w:t>
      </w:r>
    </w:p>
    <w:p>
      <w:pPr>
        <w:spacing w:after="120" w:line="276"/>
      </w:pPr>
      <w:r>
        <w:rPr>
          <w:rFonts w:ascii="Calibri" w:cs="Calibri" w:eastAsia="Calibri" w:hAnsi="Calibri"/>
          <w:color w:val="1A1A1A"/>
          <w:sz w:val="21"/>
          <w:szCs w:val="21"/>
        </w:rPr>
        <w:t xml:space="preserve">Module 3 was specified against six functional objectives and four non-functional ones. Section 10 reports measured evidence against each.</w:t>
      </w:r>
    </w:p>
    <w:p>
      <w:pPr>
        <w:pStyle w:val="Heading2"/>
        <w:spacing w:after="120" w:before="260"/>
      </w:pPr>
      <w:r>
        <w:rPr>
          <w:rFonts w:ascii="Calibri" w:cs="Calibri" w:eastAsia="Calibri" w:hAnsi="Calibri"/>
          <w:b/>
          <w:bCs/>
          <w:color w:val="1A1A1A"/>
          <w:sz w:val="24"/>
          <w:szCs w:val="24"/>
        </w:rPr>
        <w:t xml:space="preserve">3.1 Functional objectives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620"/>
        <w:gridCol w:w="4700"/>
        <w:gridCol w:w="3700"/>
      </w:tblGrid>
      <w:tr>
        <w:trPr>
          <w:tblHeader/>
        </w:trPr>
        <w:tc>
          <w:tcPr>
            <w:tcW w:type="dxa" w:w="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t>
            </w:r>
          </w:p>
        </w:tc>
        <w:tc>
          <w:tcPr>
            <w:tcW w:type="dxa" w:w="47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Objective</w:t>
            </w:r>
          </w:p>
        </w:tc>
        <w:tc>
          <w:tcPr>
            <w:tcW w:type="dxa" w:w="37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Met by</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F1</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From a raw DNA sequence, predict resistance across the clinically meaningful antibiotic classes</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Core two-layer scan (§7); 12 classes</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F2</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Name the specific determinant responsible, not just the class outcome</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Gene-detection layer (§7.2); 21 real reference sequences</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F3</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Project resistance forward to a user-specified launch year, from real surveillance data</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1 — Resistance Runway (§8.1)</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F4</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Distinguish a resistant verdict that is commercially recoverable from one that is not</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2 — Rescue Strategy (§8.2)</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F5</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Support a portfolio-level decision across multiple candidates and organisms</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3 — Portfolio Screen (§8.3)</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F6</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Detect acquired genetic material that matches nothing in the reference set</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4 — Dark Genome (§8.4)</w:t>
            </w:r>
          </w:p>
        </w:tc>
      </w:tr>
    </w:tbl>
    <w:p>
      <w:pPr>
        <w:pStyle w:val="Heading2"/>
        <w:spacing w:after="120" w:before="260"/>
      </w:pPr>
      <w:r>
        <w:rPr>
          <w:rFonts w:ascii="Calibri" w:cs="Calibri" w:eastAsia="Calibri" w:hAnsi="Calibri"/>
          <w:b/>
          <w:bCs/>
          <w:color w:val="1A1A1A"/>
          <w:sz w:val="24"/>
          <w:szCs w:val="24"/>
        </w:rPr>
        <w:t xml:space="preserve">3.2 Non-functional objectives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620"/>
        <w:gridCol w:w="4700"/>
        <w:gridCol w:w="3700"/>
      </w:tblGrid>
      <w:tr>
        <w:trPr>
          <w:tblHeader/>
        </w:trPr>
        <w:tc>
          <w:tcPr>
            <w:tcW w:type="dxa" w:w="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t>
            </w:r>
          </w:p>
        </w:tc>
        <w:tc>
          <w:tcPr>
            <w:tcW w:type="dxa" w:w="47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Objective</w:t>
            </w:r>
          </w:p>
        </w:tc>
        <w:tc>
          <w:tcPr>
            <w:tcW w:type="dxa" w:w="37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Met by</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N1</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Run entirely locally on a laptop CPU, with no paid API and no licensed dataset</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Python + scikit-learn; full train under 3 minutes</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N2</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Accept real field data, not only bundled demonstrations</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FASTA upload path; pipeline unchanged (§7.1)</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N3</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Every output traceable to an equation, a reference accession or a cited source</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Provenance recorded per gene; sources named in-app</w:t>
            </w:r>
          </w:p>
        </w:tc>
      </w:tr>
      <w:tr>
        <w:trPr>
          <w:tblHeader w:val="false"/>
        </w:trPr>
        <w:tc>
          <w:tcPr>
            <w:tcW w:type="dxa" w:w="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N4</w:t>
            </w:r>
          </w:p>
        </w:tc>
        <w:tc>
          <w:tcPr>
            <w:tcW w:type="dxa" w:w="4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Never present an unrun check as a passed check</w:t>
            </w:r>
          </w:p>
        </w:tc>
        <w:tc>
          <w:tcPr>
            <w:tcW w:type="dxa" w:w="3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Explicit "not screened" / "not assessed" states (§11.1)</w:t>
            </w:r>
          </w:p>
        </w:tc>
      </w:tr>
    </w:tbl>
    <w:p>
      <w:pPr>
        <w:spacing w:after="120" w:line="276"/>
      </w:pPr>
      <w:r>
        <w:rPr>
          <w:rFonts w:ascii="Calibri" w:cs="Calibri" w:eastAsia="Calibri" w:hAnsi="Calibri"/>
          <w:color w:val="1A1A1A"/>
          <w:sz w:val="21"/>
          <w:szCs w:val="21"/>
        </w:rPr>
        <w:t xml:space="preserve">Objective N4 deserves emphasis because it is the one most often violated by screening tools and the one this module spends the most code on. A tool that reports "0% resistance" for an antibiotic class it never examined is worse than one that reports nothing, because the first is acted upon.</w:t>
      </w:r>
    </w:p>
    <w:p>
      <w:r>
        <w:br w:type="page"/>
      </w:r>
    </w:p>
    <w:p>
      <w:pPr>
        <w:pStyle w:val="Heading1"/>
        <w:spacing w:after="160" w:before="360"/>
      </w:pPr>
      <w:r>
        <w:rPr>
          <w:rFonts w:ascii="Calibri" w:cs="Calibri" w:eastAsia="Calibri" w:hAnsi="Calibri"/>
          <w:b/>
          <w:bCs/>
          <w:color w:val="1F4E79"/>
          <w:sz w:val="30"/>
          <w:szCs w:val="30"/>
        </w:rPr>
        <w:t xml:space="preserve">4. Tech Stack</w:t>
      </w:r>
    </w:p>
    <w:p>
      <w:pPr>
        <w:spacing w:after="120" w:line="276"/>
      </w:pPr>
      <w:r>
        <w:rPr>
          <w:rFonts w:ascii="Calibri" w:cs="Calibri" w:eastAsia="Calibri" w:hAnsi="Calibri"/>
          <w:color w:val="1A1A1A"/>
          <w:sz w:val="21"/>
          <w:szCs w:val="21"/>
        </w:rPr>
        <w:t xml:space="preserve">Every component is free and open source. The module runs offline on a laptop CPU; there is no GPU requirement, no paid API and no licensed database in the shipped path.</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300"/>
        <w:gridCol w:w="1500"/>
        <w:gridCol w:w="5220"/>
      </w:tblGrid>
      <w:tr>
        <w:trPr>
          <w:tblHeader/>
        </w:trPr>
        <w:tc>
          <w:tcPr>
            <w:tcW w:type="dxa" w:w="2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Component</w:t>
            </w:r>
          </w:p>
        </w:tc>
        <w:tc>
          <w:tcPr>
            <w:tcW w:type="dxa" w:w="15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Version / config</w:t>
            </w:r>
          </w:p>
        </w:tc>
        <w:tc>
          <w:tcPr>
            <w:tcW w:type="dxa" w:w="52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Role in Module 3</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Python</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3.12</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Implementation language for the entire module</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NumPy</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1.24</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k-mer vectorisation, cosine similarity, robust statistics for the novelty scan</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scikit-learn</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1.3</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RandomForestClassifier, MultiOutputClassifier, CalibratedClassifierCV (isotonic), metrics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Streamlit</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1.30</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Prototype UI — five tabs, FASTA upload, per-feature report downloads</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Plotly</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5.18</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Resistance bar charts, runway projection cone, portfolio heat map, value waterfall</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pandas</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2.0</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Tabular assembly for on-screen tables and CSV export</w:t>
            </w:r>
          </w:p>
        </w:tc>
      </w:tr>
      <w:tr>
        <w:trPr>
          <w:tblHeader w:val="false"/>
        </w:trPr>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PyTorch + Transformers + einops</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optional, CPU</w:t>
            </w:r>
          </w:p>
        </w:tc>
        <w:tc>
          <w:tcPr>
            <w:tcW w:type="dxa" w:w="5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Optional DNABERT-2 benchmark only (§8.7). Absent by default; degrades safely</w:t>
            </w:r>
          </w:p>
        </w:tc>
      </w:tr>
    </w:tbl>
    <w:p>
      <w:pPr>
        <w:pStyle w:val="Heading2"/>
        <w:spacing w:after="120" w:before="260"/>
      </w:pPr>
      <w:r>
        <w:rPr>
          <w:rFonts w:ascii="Calibri" w:cs="Calibri" w:eastAsia="Calibri" w:hAnsi="Calibri"/>
          <w:b/>
          <w:bCs/>
          <w:color w:val="1A1A1A"/>
          <w:sz w:val="24"/>
          <w:szCs w:val="24"/>
        </w:rPr>
        <w:t xml:space="preserve">4.1 Module 3 source layout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900"/>
        <w:gridCol w:w="55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File</w:t>
            </w:r>
          </w:p>
        </w:tc>
        <w:tc>
          <w:tcPr>
            <w:tcW w:type="dxa" w:w="9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Lines</w:t>
            </w:r>
          </w:p>
        </w:tc>
        <w:tc>
          <w:tcPr>
            <w:tcW w:type="dxa" w:w="55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Responsibility</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trialsense/amr.py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1,547</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Core: 21 gene definitions, k-mer featuriser, Random Forest, gene detection, mechanism floor, decision thresholds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trialsense/surveillance.py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1,215</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1 (Resistance Runway): real ICMR/WHO series, logistic forecaster, ICMR cross-check</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trialsense/mechanisms.py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476</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Features 2 and 6: rescue strategy, spread velocity</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trialsense/portfolio.py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341</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3: N × M candidate–organism screening grid</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trialsense/novelty.py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504</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4: open-world detection plus out-of-distribution badge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trialsense/economics.py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272</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5: value-of-information model</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trialsense/perdrug.py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355</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Per-drug resolution within an antibiotic class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trialsense/dnabert.py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339</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Optional DNABERT-2 embedding benchmark</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trialsense/reference_sequences/</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21 FASTA</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real NCBI reference gene sequences, with accessions in each header</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validate_module3.py</w:t>
            </w:r>
          </w:p>
        </w:tc>
        <w:tc>
          <w:tcPr>
            <w:tcW w:type="dxa" w:w="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787</w:t>
            </w:r>
          </w:p>
        </w:tc>
        <w:tc>
          <w:tcPr>
            <w:tcW w:type="dxa" w:w="5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seven-part validation suite; writes models/validation.json</w:t>
            </w:r>
          </w:p>
        </w:tc>
      </w:tr>
    </w:tbl>
    <w:p>
      <w:r>
        <w:br w:type="page"/>
      </w:r>
    </w:p>
    <w:p>
      <w:pPr>
        <w:pStyle w:val="Heading1"/>
        <w:spacing w:after="160" w:before="360"/>
      </w:pPr>
      <w:r>
        <w:rPr>
          <w:rFonts w:ascii="Calibri" w:cs="Calibri" w:eastAsia="Calibri" w:hAnsi="Calibri"/>
          <w:b/>
          <w:bCs/>
          <w:color w:val="1F4E79"/>
          <w:sz w:val="30"/>
          <w:szCs w:val="30"/>
        </w:rPr>
        <w:t xml:space="preserve">5. Models and Datasets</w:t>
      </w:r>
    </w:p>
    <w:p>
      <w:pPr>
        <w:pStyle w:val="Heading2"/>
        <w:spacing w:after="120" w:before="260"/>
      </w:pPr>
      <w:r>
        <w:rPr>
          <w:rFonts w:ascii="Calibri" w:cs="Calibri" w:eastAsia="Calibri" w:hAnsi="Calibri"/>
          <w:b/>
          <w:bCs/>
          <w:color w:val="1A1A1A"/>
          <w:sz w:val="24"/>
          <w:szCs w:val="24"/>
        </w:rPr>
        <w:t xml:space="preserve">5.1 The classifier</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Property</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Value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Task</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Multi-label classification — one independent resistance call per antibiotic class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Algorithm</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Random Forest (250 trees, min_samples_leaf = 2) wrapped in MultiOutputClassifier</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Labels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12 antibiotic classes: Penicillins, Cephalosporins, Carbapenems, Fluoroquinolones, Macrolides, Aminoglycosides, Tetracyclines, Trimethoprim-sulfonamides, Glycopeptides, Oxazolidinones, Polymyxins, Rifamycins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1,024 — the frequency of every possible 5-mer (5-letter DNA word) in the sequence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Calibration</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Isotonic regression per class, fitted on cross-validated out-of-fold predictions (cv = 3)</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Training set size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700 synthesised isolates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Training time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Under 3 minutes on a laptop CPU (full train.py run: ~105 s)</w:t>
            </w:r>
          </w:p>
        </w:tc>
      </w:tr>
    </w:tbl>
    <w:p>
      <w:pPr>
        <w:pStyle w:val="Heading3"/>
        <w:spacing w:after="100" w:before="200"/>
      </w:pPr>
      <w:r>
        <w:rPr>
          <w:rFonts w:ascii="Calibri" w:cs="Calibri" w:eastAsia="Calibri" w:hAnsi="Calibri"/>
          <w:b/>
          <w:bCs/>
          <w:color w:val="1F4E79"/>
          <w:sz w:val="22"/>
          <w:szCs w:val="22"/>
        </w:rPr>
        <w:t xml:space="preserve">Why a Random Forest, and why k-mers</w:t>
      </w:r>
    </w:p>
    <w:p>
      <w:pPr>
        <w:pStyle w:val="ListParagraph"/>
        <w:numPr>
          <w:ilvl w:val="0"/>
          <w:numId w:val="2"/>
        </w:numPr>
        <w:spacing w:after="80" w:line="276"/>
      </w:pPr>
      <w:r>
        <w:rPr>
          <w:rFonts w:ascii="Calibri" w:cs="Calibri" w:eastAsia="Calibri" w:hAnsi="Calibri"/>
          <w:color w:val="1A1A1A"/>
          <w:sz w:val="21"/>
          <w:szCs w:val="21"/>
        </w:rPr>
        <w:t xml:space="preserve">k-mer composition profiling is a standard, well-established route from raw sequencing reads to a resistance call without requiring genome assembly. It is the basis of real tools in this space, and it works on a FASTA file straight from a sequencer.</w:t>
      </w:r>
    </w:p>
    <w:p>
      <w:pPr>
        <w:pStyle w:val="ListParagraph"/>
        <w:numPr>
          <w:ilvl w:val="0"/>
          <w:numId w:val="2"/>
        </w:numPr>
        <w:spacing w:after="80" w:line="276"/>
      </w:pPr>
      <w:r>
        <w:rPr>
          <w:rFonts w:ascii="Calibri" w:cs="Calibri" w:eastAsia="Calibri" w:hAnsi="Calibri"/>
          <w:color w:val="1A1A1A"/>
          <w:sz w:val="21"/>
          <w:szCs w:val="21"/>
        </w:rPr>
        <w:t xml:space="preserve">Random Forest is the appropriate baseline rather than a compromise. The published systematic review of 26 whole-genome-sequencing AMR studies covering roughly 104,000 microbial samples found Random Forest the top performer, with a mean AUC of 0.89 — ahead of XGBoost and logistic regression.</w:t>
      </w:r>
    </w:p>
    <w:p>
      <w:pPr>
        <w:pStyle w:val="ListParagraph"/>
        <w:numPr>
          <w:ilvl w:val="0"/>
          <w:numId w:val="2"/>
        </w:numPr>
        <w:spacing w:after="80" w:line="276"/>
      </w:pPr>
      <w:r>
        <w:rPr>
          <w:rFonts w:ascii="Calibri" w:cs="Calibri" w:eastAsia="Calibri" w:hAnsi="Calibri"/>
          <w:color w:val="1A1A1A"/>
          <w:sz w:val="21"/>
          <w:szCs w:val="21"/>
        </w:rPr>
        <w:t xml:space="preserve">Each class gets its own forest because resistance labels are not mutually exclusive: one isolate routinely defeats several classes at once through different determinants.</w:t>
      </w:r>
    </w:p>
    <w:p>
      <w:pPr>
        <w:pStyle w:val="Heading3"/>
        <w:spacing w:after="100" w:before="200"/>
      </w:pPr>
      <w:r>
        <w:rPr>
          <w:rFonts w:ascii="Calibri" w:cs="Calibri" w:eastAsia="Calibri" w:hAnsi="Calibri"/>
          <w:b/>
          <w:bCs/>
          <w:color w:val="1F4E79"/>
          <w:sz w:val="22"/>
          <w:szCs w:val="22"/>
        </w:rPr>
        <w:t xml:space="preserve">Why the probabilities are calibrated</w:t>
      </w:r>
    </w:p>
    <w:p>
      <w:pPr>
        <w:spacing w:after="120" w:line="276"/>
      </w:pPr>
      <w:r>
        <w:rPr>
          <w:rFonts w:ascii="Calibri" w:cs="Calibri" w:eastAsia="Calibri" w:hAnsi="Calibri"/>
          <w:color w:val="1A1A1A"/>
          <w:sz w:val="21"/>
          <w:szCs w:val="21"/>
        </w:rPr>
        <w:t xml:space="preserve">The raw forest was measured to be badly under-confident in the middle of its range: when it output 55%, the observed resistance rate was 97%; at 44%, the observed rate was 73%. Expected calibration error was 0.100.</w:t>
      </w:r>
    </w:p>
    <w:p>
      <w:pPr>
        <w:spacing w:after="120" w:line="276"/>
      </w:pPr>
      <w:r>
        <w:rPr>
          <w:rFonts w:ascii="Calibri" w:cs="Calibri" w:eastAsia="Calibri" w:hAnsi="Calibri"/>
          <w:color w:val="1A1A1A"/>
          <w:sz w:val="21"/>
          <w:szCs w:val="21"/>
        </w:rPr>
        <w:t xml:space="preserve">This mattered beyond presentation, because the probability is not only displayed — Module 1/2's unified report multiplies it into the composite risk score (§9.2), and the portfolio grid thresholds it. A number that systematically understates the truth propagates that understatement into a funding decision. Isotonic regression was chosen over a sigmoid because the miscalibration was a flattening across the middle of the range rather than a simple S-curve shift. Measured effect in §10.2.</w:t>
      </w:r>
    </w:p>
    <w:p>
      <w:pPr>
        <w:pStyle w:val="Heading2"/>
        <w:spacing w:after="120" w:before="260"/>
      </w:pPr>
      <w:r>
        <w:rPr>
          <w:rFonts w:ascii="Calibri" w:cs="Calibri" w:eastAsia="Calibri" w:hAnsi="Calibri"/>
          <w:b/>
          <w:bCs/>
          <w:color w:val="1A1A1A"/>
          <w:sz w:val="24"/>
          <w:szCs w:val="24"/>
        </w:rPr>
        <w:t xml:space="preserve">5.2 Datasets and their provenance</w:t>
      </w:r>
    </w:p>
    <w:p>
      <w:pPr>
        <w:pStyle w:val="Heading3"/>
        <w:spacing w:after="100" w:before="200"/>
      </w:pPr>
      <w:r>
        <w:rPr>
          <w:rFonts w:ascii="Calibri" w:cs="Calibri" w:eastAsia="Calibri" w:hAnsi="Calibri"/>
          <w:b/>
          <w:bCs/>
          <w:color w:val="1F4E79"/>
          <w:sz w:val="22"/>
          <w:szCs w:val="22"/>
        </w:rPr>
        <w:t xml:space="preserve">Dataset A — the 21 reference gene sequences (REAL)</w:t>
      </w:r>
    </w:p>
    <w:p>
      <w:pPr>
        <w:spacing w:after="120" w:line="276"/>
      </w:pPr>
      <w:r>
        <w:rPr>
          <w:rFonts w:ascii="Calibri" w:cs="Calibri" w:eastAsia="Calibri" w:hAnsi="Calibri"/>
          <w:color w:val="1A1A1A"/>
          <w:sz w:val="21"/>
          <w:szCs w:val="21"/>
        </w:rPr>
        <w:t xml:space="preserve">These are genuine published coding sequences, not generated ones. They come from the NCBI Bacterial Antimicrobial Resistance Reference Gene Database (AMRFinderPlus database release 2026-08-07.1) — the same curated set NCBI's own AMRFinderPlus tool uses — with gyrA and rpoB taken from RefSeq. Every accession is recorded in the FASTA header and surfaced in the UI.</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1900"/>
        <w:gridCol w:w="2300"/>
        <w:gridCol w:w="4820"/>
      </w:tblGrid>
      <w:tr>
        <w:trPr>
          <w:tblHeader/>
        </w:trPr>
        <w:tc>
          <w:tcPr>
            <w:tcW w:type="dxa" w:w="19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Gene</w:t>
            </w:r>
          </w:p>
        </w:tc>
        <w:tc>
          <w:tcPr>
            <w:tcW w:type="dxa" w:w="2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Accession</w:t>
            </w:r>
          </w:p>
        </w:tc>
        <w:tc>
          <w:tcPr>
            <w:tcW w:type="dxa" w:w="48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Product / significance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blaTEM-1</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NG_050145.1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Broad-spectrum class A beta-lactamase; highest ICMR prevalence (54%)</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blaCTX-M-15</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NG_048935.1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Extended-spectrum class A beta-lactamase; dominant Indian ESBL (40%)</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blaNDM-1</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NG_049326.1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Subclass B1 metallo-beta-lactamase; the South Asian carbapenemase (27%)</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blaKPC-2</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NG_049253.1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Serine carbapenemase class A — inhibitor-recoverable (15%)</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blaOXA-48</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NG_049762.1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Class D carbapenem-hydrolysing oxacillinase (22%)</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blaVIM</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NG_050336.1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Subclass B1 metallo-beta-lactamase VIM-1 (19%)</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blaIMP</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NG_049172.1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Subclass B1 metallo-beta-lactamase IMP-1 (15%)</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blaSHV</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NG_049989.1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Broad-spectrum class A beta-lactamase SHV-1 (16%)</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mecA</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NG_047936.1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PBP2a transpeptidase — the MRSA determinant</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vanA</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NG_048323.1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D-Ala–D-Lac ligase — vancomycin resistance (VRE)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ermB</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NG_047801.1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23S rRNA methyltransferase — macrolide resistance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tetM</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NG_048222.1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Ribosomal protection protein — tetracycline resistance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aac(6')-Ib</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NG_047284.1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Aminoglycoside 6'-N-acetyltransferase; spares gentamicin</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armA</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NG_047476.1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16S rRNA methyltransferase; defeats all aminoglycosides</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qnrS1</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NG_050543.1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Pentapeptide repeat protein — quinolone target protection</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sul1</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NG_048081.1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Sulfonamide-resistant dihydropteroate synthase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dfrA17</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NG_047709.1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Trimethoprim-resistant dihydrofolate reductase (474 bp, shortest)</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mcr-1</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NG_050417.1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Phosphoethanolamine transferase — plasmid-borne colistin resistance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cfr</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NG_047631.1</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23S rRNA methyltransferase — linezolid resistance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gyrA_S83L</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NC_000913.3 (RefSeq)</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DNA gyrase subunit A point mutation — fluoroquinolone resistance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rpoB_S450L</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NC_000962.3 (RefSeq)</w:t>
            </w:r>
          </w:p>
        </w:tc>
        <w:tc>
          <w:tcPr>
            <w:tcW w:type="dxa" w:w="4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RNA polymerase beta point mutation — rifampicin resistance in M. tuberculosis</w:t>
            </w:r>
          </w:p>
        </w:tc>
      </w:tr>
    </w:tbl>
    <w:p>
      <w:pPr>
        <w:pStyle w:val="Heading3"/>
        <w:spacing w:after="100" w:before="200"/>
      </w:pPr>
      <w:r>
        <w:rPr>
          <w:rFonts w:ascii="Calibri" w:cs="Calibri" w:eastAsia="Calibri" w:hAnsi="Calibri"/>
          <w:b/>
          <w:bCs/>
          <w:color w:val="1F4E79"/>
          <w:sz w:val="22"/>
          <w:szCs w:val="22"/>
        </w:rPr>
        <w:t xml:space="preserve">Dataset B — ICMR AMRSN national surveillance (REAL)</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Property</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Value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Source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ICMR Antimicrobial Resistance Surveillance Network (AMRSN) annual reports, national aggregate across participating tertiary centres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Years used for fitting</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2016–2024 (nine annual points)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Organisms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7 — Klebsiella pneumoniae, Escherichia coli, Acinetobacter baumannii, Pseudomonas aeruginosa, Staphylococcus aureus, Enterococcus faecium, Salmonella Typhi</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Agents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18, mapped onto the 12 antibiotic classes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Secondary source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WHO Global Health Observatory / GLASS — only two indicators are published for India (E. coli vs third-generation cephalosporins; MRSA), 2017–2023</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Peer-reviewed rendering</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Walia K, Madhumathi J, Veeraraghavan B, et al. Indian J Med Res. 2019;149(2):164-179. PMID 31219080</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Molecular chapter</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ICMR AMRSN 2018: 369 E. coli + 374 K. pneumoniae across 7 centres — used for the gene-prevalence coverage check (§10.7)</w:t>
            </w:r>
          </w:p>
        </w:tc>
      </w:tr>
    </w:tbl>
    <w:p>
      <w:pPr>
        <w:spacing w:after="120" w:line="276"/>
      </w:pPr>
      <w:r>
        <w:rPr>
          <w:rFonts w:ascii="Calibri" w:cs="Calibri" w:eastAsia="Calibri" w:hAnsi="Calibri"/>
          <w:b/>
          <w:bCs/>
          <w:color w:val="1A1A1A"/>
          <w:sz w:val="21"/>
          <w:szCs w:val="21"/>
        </w:rPr>
        <w:t xml:space="preserve">Two data-handling decisions a reviewer should check. </w:t>
      </w:r>
      <w:r>
        <w:rPr>
          <w:rFonts w:ascii="Calibri" w:cs="Calibri" w:eastAsia="Calibri" w:hAnsi="Calibri"/>
          <w:color w:val="1A1A1A"/>
          <w:sz w:val="21"/>
          <w:szCs w:val="21"/>
        </w:rPr>
        <w:t xml:space="preserve">First, the 2016+ reports print percent susceptible; the module stores resistance as 100 − S. Strictly this is non-susceptibility, because the complement of Susceptible includes CLSI Intermediate isolates — this is documented in the source and is why Salmonella Typhi carries an inline caveat that its figures are mostly Intermediate rather than full resistance. Second, and more important, the 2015 ICMR figures are </w:t>
      </w:r>
      <w:r>
        <w:rPr>
          <w:rFonts w:ascii="Calibri" w:cs="Calibri" w:eastAsia="Calibri" w:hAnsi="Calibri"/>
          <w:b/>
          <w:bCs/>
          <w:color w:val="1A1A1A"/>
          <w:sz w:val="21"/>
          <w:szCs w:val="21"/>
        </w:rPr>
        <w:t xml:space="preserve">held out of every fit</w:t>
      </w:r>
      <w:r>
        <w:rPr>
          <w:rFonts w:ascii="Calibri" w:cs="Calibri" w:eastAsia="Calibri" w:hAnsi="Calibri"/>
          <w:color w:val="1A1A1A"/>
          <w:sz w:val="21"/>
          <w:szCs w:val="21"/>
        </w:rPr>
        <w:t xml:space="preserve">. The 2015 report covered blood and CSF isolates only (n = 1,721 E. coli; n = 1,080 K. pneumoniae) while 2016 onward covers all specimens except faeces and urine. Joining the two creates an artefact, clearest in MRSA, which reads 42.6% in 2015 and 28.4% in 2016 — both figures correct, measuring different populations. The 2015 point is displayed, labelled, and excluded from the regression.</w:t>
      </w:r>
    </w:p>
    <w:p>
      <w:pPr>
        <w:spacing w:after="120" w:line="276"/>
      </w:pPr>
      <w:r>
        <w:rPr>
          <w:rFonts w:ascii="Calibri" w:cs="Calibri" w:eastAsia="Calibri" w:hAnsi="Calibri"/>
          <w:b/>
          <w:bCs/>
          <w:color w:val="1A1A1A"/>
          <w:sz w:val="21"/>
          <w:szCs w:val="21"/>
        </w:rPr>
        <w:t xml:space="preserve">Source disagreement is displayed rather than resolved. </w:t>
      </w:r>
      <w:r>
        <w:rPr>
          <w:rFonts w:ascii="Calibri" w:cs="Calibri" w:eastAsia="Calibri" w:hAnsi="Calibri"/>
          <w:color w:val="1A1A1A"/>
          <w:sz w:val="21"/>
          <w:szCs w:val="21"/>
        </w:rPr>
        <w:t xml:space="preserve">For K. pneumoniae carbapenem resistance in 2023, ICMR reports approximately 62–64%, WHO GLASS 61.2%, and NCDC approximately 49–51%. The module exposes the source as a user-selectable input instead of silently adopting the most alarming figure.</w:t>
      </w:r>
    </w:p>
    <w:p>
      <w:pPr>
        <w:pStyle w:val="Heading3"/>
        <w:spacing w:after="100" w:before="200"/>
      </w:pPr>
      <w:r>
        <w:rPr>
          <w:rFonts w:ascii="Calibri" w:cs="Calibri" w:eastAsia="Calibri" w:hAnsi="Calibri"/>
          <w:b/>
          <w:bCs/>
          <w:color w:val="1F4E79"/>
          <w:sz w:val="22"/>
          <w:szCs w:val="22"/>
        </w:rPr>
        <w:t xml:space="preserve">Dataset C — the isolate assemblies (CONSTRUCTED)</w:t>
      </w:r>
    </w:p>
    <w:p>
      <w:pPr>
        <w:spacing w:after="120" w:line="276"/>
      </w:pPr>
      <w:r>
        <w:rPr>
          <w:rFonts w:ascii="Calibri" w:cs="Calibri" w:eastAsia="Calibri" w:hAnsi="Calibri"/>
          <w:color w:val="1A1A1A"/>
          <w:sz w:val="21"/>
          <w:szCs w:val="21"/>
        </w:rPr>
        <w:t xml:space="preserve">This is the module's principal data limitation and is stated plainly in Section 6. The 700 training isolates are assembled by embedding the real gene sequences into generated, species-typical genomic background (defined by GC content), separated by short spacers, in randomised gene order. The determinants are real; the scaffold they sit in is not.</w:t>
      </w:r>
    </w:p>
    <w:p>
      <w:pPr>
        <w:spacing w:after="120" w:line="276"/>
      </w:pPr>
      <w:r>
        <w:rPr>
          <w:rFonts w:ascii="Calibri" w:cs="Calibri" w:eastAsia="Calibri" w:hAnsi="Calibri"/>
          <w:color w:val="1A1A1A"/>
          <w:sz w:val="21"/>
          <w:szCs w:val="21"/>
        </w:rPr>
        <w:t xml:space="preserve">Gene combinations are not sampled at random. They follow realistic co-occurrence patterns, because resistance determinants cluster together on plasmids and integrons in the field rather than assorting independently.</w:t>
      </w:r>
    </w:p>
    <w:p>
      <w:r>
        <w:br w:type="page"/>
      </w:r>
    </w:p>
    <w:p>
      <w:pPr>
        <w:pStyle w:val="Heading1"/>
        <w:spacing w:after="160" w:before="360"/>
      </w:pPr>
      <w:r>
        <w:rPr>
          <w:rFonts w:ascii="Calibri" w:cs="Calibri" w:eastAsia="Calibri" w:hAnsi="Calibri"/>
          <w:b/>
          <w:bCs/>
          <w:color w:val="1F4E79"/>
          <w:sz w:val="30"/>
          <w:szCs w:val="30"/>
        </w:rPr>
        <w:t xml:space="preserve">6. What Is Real and What Is Constructed</w:t>
      </w:r>
    </w:p>
    <w:p>
      <w:pPr>
        <w:spacing w:after="120" w:line="276"/>
      </w:pPr>
      <w:r>
        <w:rPr>
          <w:rFonts w:ascii="Calibri" w:cs="Calibri" w:eastAsia="Calibri" w:hAnsi="Calibri"/>
          <w:color w:val="1A1A1A"/>
          <w:sz w:val="21"/>
          <w:szCs w:val="21"/>
        </w:rPr>
        <w:t xml:space="preserve">This section exists so that a reviewer can calibrate every result that follows. It is the section the team asks mentors to read first.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2E6B3E"/>
                <w:sz w:val="19"/>
                <w:szCs w:val="19"/>
              </w:rPr>
              <w:t xml:space="preserve">Genuinely real</w:t>
            </w:r>
          </w:p>
        </w:tc>
        <w:tc>
          <w:tcPr>
            <w:tcW w:type="dxa" w:w="4620"/>
            <w:shd w:fill="E8EDF3" w:val="clear"/>
            <w:tcMar>
              <w:top w:type="dxa" w:w="70"/>
              <w:left w:type="dxa" w:w="110"/>
              <w:bottom w:type="dxa" w:w="70"/>
              <w:right w:type="dxa" w:w="110"/>
            </w:tcMar>
          </w:tcPr>
          <w:p>
            <w:pPr>
              <w:spacing w:after="0" w:line="252"/>
            </w:pPr>
            <w:r>
              <w:rPr>
                <w:rFonts w:ascii="Calibri" w:cs="Calibri" w:eastAsia="Calibri" w:hAnsi="Calibri"/>
                <w:b/>
                <w:bCs/>
                <w:color w:val="9C4221"/>
                <w:sz w:val="19"/>
                <w:szCs w:val="19"/>
              </w:rPr>
              <w:t xml:space="preserve">Constructed or simplified</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All 21 resistance gene sequences — real NCBI AMRFinderPlus / RefSeq coding sequences, accessions published in each FASTA header</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isolate assembly — real genes embedded in generated species-typical background, because complete annotated genomes are a far larger download than a demo can carry</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gene → antibiotic-class mapping, mechanism families, enzyme subtypes and mobility categories — encoded textbook microbiology</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training labels are therefore assigned from that mapping, not read from laboratory susceptibility testing</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k-mer featuriser and the entire inference pipeline — identical for a real uploaded FASTA and a bundled demonstration strain</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12 bundled demonstration strains' gene contents were chosen by the team, so they are an integration check and not a held-out test set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ICMR AMRSN and WHO GLASS surveillance series, the ICMR molecular gene-prevalence figures, and their citations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spread multipliers in Feature 6 are reasoned orders of magnitude, not fitted constants</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forecast backtest — a genuine time split, fitted on ≤ 2020 and tested on 2021–2024, which the model never saw</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5's cost and success-probability defaults are order-of-magnitude assumptions with no single published citation</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evaluation protocols themselves, including the deliberately harsh clade-held-out and cold-combination splits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composite 60/40 weighting in the unified report is a reasoned, transparent blend, not a learned model</w:t>
            </w:r>
          </w:p>
        </w:tc>
      </w:tr>
    </w:tbl>
    <w:p>
      <w:pPr>
        <w:pStyle w:val="Heading2"/>
        <w:spacing w:after="120" w:before="260"/>
      </w:pPr>
      <w:r>
        <w:rPr>
          <w:rFonts w:ascii="Calibri" w:cs="Calibri" w:eastAsia="Calibri" w:hAnsi="Calibri"/>
          <w:b/>
          <w:bCs/>
          <w:color w:val="1A1A1A"/>
          <w:sz w:val="24"/>
          <w:szCs w:val="24"/>
        </w:rPr>
        <w:t xml:space="preserve">6.1 A swap that made every headline number worse</w:t>
      </w:r>
    </w:p>
    <w:p>
      <w:pPr>
        <w:spacing w:after="120" w:line="276"/>
      </w:pPr>
      <w:r>
        <w:rPr>
          <w:rFonts w:ascii="Calibri" w:cs="Calibri" w:eastAsia="Calibri" w:hAnsi="Calibri"/>
          <w:color w:val="1A1A1A"/>
          <w:sz w:val="21"/>
          <w:szCs w:val="21"/>
        </w:rPr>
        <w:t xml:space="preserve">Module 3 originally shipped synthetic marker cassettes built from generated motif vocabularies. Those were replaced with the real NCBI sequences. Every headline metric fell:</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000"/>
        <w:gridCol w:w="2500"/>
        <w:gridCol w:w="2520"/>
      </w:tblGrid>
      <w:tr>
        <w:trPr>
          <w:tblHeader/>
        </w:trPr>
        <w:tc>
          <w:tcPr>
            <w:tcW w:type="dxa" w:w="40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Metric</w:t>
            </w:r>
          </w:p>
        </w:tc>
        <w:tc>
          <w:tcPr>
            <w:tcW w:type="dxa" w:w="25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Synthetic cassettes</w:t>
            </w:r>
          </w:p>
        </w:tc>
        <w:tc>
          <w:tcPr>
            <w:tcW w:type="dxa" w:w="25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Real NCBI sequences</w:t>
            </w:r>
          </w:p>
        </w:tc>
      </w:tr>
      <w:tr>
        <w:trPr>
          <w:tblHeader w:val="false"/>
        </w:trPr>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macro-F1 (random split)</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0.989</w:t>
            </w:r>
          </w:p>
        </w:tc>
        <w:tc>
          <w:tcPr>
            <w:tcW w:type="dxa" w:w="25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0.900</w:t>
            </w:r>
          </w:p>
        </w:tc>
      </w:tr>
      <w:tr>
        <w:trPr>
          <w:tblHeader w:val="false"/>
        </w:trPr>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macro-F1 (cold-combination split)</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0.925</w:t>
            </w:r>
          </w:p>
        </w:tc>
        <w:tc>
          <w:tcPr>
            <w:tcW w:type="dxa" w:w="25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0.841</w:t>
            </w:r>
          </w:p>
        </w:tc>
      </w:tr>
      <w:tr>
        <w:trPr>
          <w:tblHeader w:val="false"/>
        </w:trPr>
        <w:tc>
          <w:tcPr>
            <w:tcW w:type="dxa" w:w="4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Exact match (random split)</w:t>
            </w:r>
          </w:p>
        </w:tc>
        <w:tc>
          <w:tcPr>
            <w:tcW w:type="dxa" w:w="2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0.891</w:t>
            </w:r>
          </w:p>
        </w:tc>
        <w:tc>
          <w:tcPr>
            <w:tcW w:type="dxa" w:w="25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0.589</w:t>
            </w:r>
          </w:p>
        </w:tc>
      </w:tr>
    </w:tbl>
    <w:p>
      <w:pPr>
        <w:spacing w:after="120" w:line="276"/>
      </w:pPr>
      <w:r>
        <w:rPr>
          <w:rFonts w:ascii="Calibri" w:cs="Calibri" w:eastAsia="Calibri" w:hAnsi="Calibri"/>
          <w:color w:val="1A1A1A"/>
          <w:sz w:val="21"/>
          <w:szCs w:val="21"/>
        </w:rPr>
        <w:t xml:space="preserve">That drop is the honest measurement of how much the synthetic data had been flattering the model. Real genes share bacterial codon usage, real gene families overlap, and three metallo-beta-lactamases with near-identical class profiles (blaNDM-1, blaVIM, blaIMP) are genuinely difficult to separate — none of which was true of cassettes generated to be distinguishable.</w:t>
      </w:r>
    </w:p>
    <w:p>
      <w:pPr>
        <w:spacing w:after="120" w:line="276"/>
      </w:pPr>
      <w:r>
        <w:rPr>
          <w:rFonts w:ascii="Calibri" w:cs="Calibri" w:eastAsia="Calibri" w:hAnsi="Calibri"/>
          <w:color w:val="1A1A1A"/>
          <w:sz w:val="21"/>
          <w:szCs w:val="21"/>
        </w:rPr>
        <w:t xml:space="preserve">The swap also forced a recalibration worth recording: the gene-detection similarity threshold moved from 0.55 to 0.83, because at 0.55 the real references matched almost everything. Measured across the twelve strains, the weakest true match scores 0.883 and the strongest false match 0.763, so any threshold between 0.77 and 0.88 separates them perfectly; 0.83 is the midpoint.</w:t>
      </w:r>
    </w:p>
    <w:p>
      <w:pPr>
        <w:spacing w:after="120" w:line="276"/>
      </w:pPr>
      <w:r>
        <w:rPr>
          <w:rFonts w:ascii="Calibri" w:cs="Calibri" w:eastAsia="Calibri" w:hAnsi="Calibri"/>
          <w:b/>
          <w:bCs/>
          <w:color w:val="1A1A1A"/>
          <w:sz w:val="21"/>
          <w:szCs w:val="21"/>
        </w:rPr>
        <w:t xml:space="preserve">The deployed pipeline nonetheless became better, </w:t>
      </w:r>
      <w:r>
        <w:rPr>
          <w:rFonts w:ascii="Calibri" w:cs="Calibri" w:eastAsia="Calibri" w:hAnsi="Calibri"/>
          <w:color w:val="1A1A1A"/>
          <w:sz w:val="21"/>
          <w:szCs w:val="21"/>
        </w:rPr>
        <w:t xml:space="preserve">because gene detection on real sequences is exact (§10.1) and now overrides the classifier where it fires. The team's position is that a lower number measuring something real is worth more than a higher number measuring an artefact.</w:t>
      </w:r>
    </w:p>
    <w:p>
      <w:r>
        <w:br w:type="page"/>
      </w:r>
    </w:p>
    <w:p>
      <w:pPr>
        <w:pStyle w:val="Heading1"/>
        <w:spacing w:after="160" w:before="360"/>
      </w:pPr>
      <w:r>
        <w:rPr>
          <w:rFonts w:ascii="Calibri" w:cs="Calibri" w:eastAsia="Calibri" w:hAnsi="Calibri"/>
          <w:b/>
          <w:bCs/>
          <w:color w:val="1F4E79"/>
          <w:sz w:val="30"/>
          <w:szCs w:val="30"/>
        </w:rPr>
        <w:t xml:space="preserve">7. Core Architecture: the Two-Layer Scan</w:t>
      </w:r>
    </w:p>
    <w:p>
      <w:pPr>
        <w:pStyle w:val="Heading2"/>
        <w:spacing w:after="120" w:before="260"/>
      </w:pPr>
      <w:r>
        <w:rPr>
          <w:rFonts w:ascii="Calibri" w:cs="Calibri" w:eastAsia="Calibri" w:hAnsi="Calibri"/>
          <w:b/>
          <w:bCs/>
          <w:color w:val="1A1A1A"/>
          <w:sz w:val="24"/>
          <w:szCs w:val="24"/>
        </w:rPr>
        <w:t xml:space="preserve">7.1 Pipeline</w:t>
      </w:r>
    </w:p>
    <w:p>
      <w:pPr>
        <w:shd w:fill="F2F4F7" w:val="clear"/>
        <w:spacing w:after="140" w:before="100"/>
        <w:ind w:left="200" w:right="200"/>
      </w:pPr>
      <w:r>
        <w:rPr>
          <w:rFonts w:ascii="Consolas" w:cs="Consolas" w:eastAsia="Consolas" w:hAnsi="Consolas"/>
          <w:color w:val="1A1A1A"/>
          <w:sz w:val="19"/>
          <w:szCs w:val="19"/>
        </w:rPr>
        <w:t xml:space="preserve">DNA sequence (FASTA)  -&gt;  5-mer frequency vector (1,024 features)</w:t>
      </w:r>
    </w:p>
    <w:p>
      <w:pPr>
        <w:shd w:fill="F2F4F7" w:val="clear"/>
        <w:spacing w:after="140" w:before="100"/>
        <w:ind w:left="200" w:right="200"/>
      </w:pPr>
      <w:r>
        <w:rPr>
          <w:rFonts w:ascii="Consolas" w:cs="Consolas" w:eastAsia="Consolas" w:hAnsi="Consolas"/>
          <w:color w:val="1A1A1A"/>
          <w:sz w:val="19"/>
          <w:szCs w:val="19"/>
        </w:rPr>
        <w:t xml:space="preserve">                      -&gt;  multi-label Random Forest (isotonic-calibrated)</w:t>
      </w:r>
    </w:p>
    <w:p>
      <w:pPr>
        <w:shd w:fill="F2F4F7" w:val="clear"/>
        <w:spacing w:after="140" w:before="100"/>
        <w:ind w:left="200" w:right="200"/>
      </w:pPr>
      <w:r>
        <w:rPr>
          <w:rFonts w:ascii="Consolas" w:cs="Consolas" w:eastAsia="Consolas" w:hAnsi="Consolas"/>
          <w:color w:val="1A1A1A"/>
          <w:sz w:val="19"/>
          <w:szCs w:val="19"/>
        </w:rPr>
        <w:t xml:space="preserve">                      -&gt;  resistance probability per antibiotic class (12)</w:t>
      </w:r>
    </w:p>
    <w:p>
      <w:pPr>
        <w:shd w:fill="F2F4F7" w:val="clear"/>
        <w:spacing w:after="140" w:before="100"/>
        <w:ind w:left="200" w:right="200"/>
      </w:pPr>
      <w:r>
        <w:rPr>
          <w:rFonts w:ascii="Consolas" w:cs="Consolas" w:eastAsia="Consolas" w:hAnsi="Consolas"/>
          <w:color w:val="1A1A1A"/>
          <w:sz w:val="19"/>
          <w:szCs w:val="19"/>
        </w:rPr>
        <w:t xml:space="preserve">                      +   sliding-window similarity search -&gt; named determinant</w:t>
      </w:r>
    </w:p>
    <w:p>
      <w:pPr>
        <w:shd w:fill="F2F4F7" w:val="clear"/>
        <w:spacing w:after="140" w:before="100"/>
        <w:ind w:left="200" w:right="200"/>
      </w:pPr>
      <w:r>
        <w:rPr>
          <w:rFonts w:ascii="Consolas" w:cs="Consolas" w:eastAsia="Consolas" w:hAnsi="Consolas"/>
          <w:color w:val="1A1A1A"/>
          <w:sz w:val="19"/>
          <w:szCs w:val="19"/>
        </w:rPr>
        <w:t xml:space="preserve">                      -&gt;  mechanism floor reconciles the two layers</w:t>
      </w:r>
    </w:p>
    <w:p>
      <w:pPr>
        <w:spacing w:after="120" w:line="276"/>
      </w:pPr>
      <w:r>
        <w:rPr>
          <w:rFonts w:ascii="Calibri" w:cs="Calibri" w:eastAsia="Calibri" w:hAnsi="Calibri"/>
          <w:color w:val="1A1A1A"/>
          <w:sz w:val="21"/>
          <w:szCs w:val="21"/>
        </w:rPr>
        <w:t xml:space="preserve">The same code path executes for a pasted sequence, an uploaded FASTA file and a bundled demonstration strain. There is no separate demonstration branch.</w:t>
      </w:r>
    </w:p>
    <w:p>
      <w:pPr>
        <w:pStyle w:val="Heading2"/>
        <w:spacing w:after="120" w:before="260"/>
      </w:pPr>
      <w:r>
        <w:rPr>
          <w:rFonts w:ascii="Calibri" w:cs="Calibri" w:eastAsia="Calibri" w:hAnsi="Calibri"/>
          <w:b/>
          <w:bCs/>
          <w:color w:val="1A1A1A"/>
          <w:sz w:val="24"/>
          <w:szCs w:val="24"/>
        </w:rPr>
        <w:t xml:space="preserve">7.2 Layer A — gene detection (knowledge-driven)</w:t>
      </w:r>
    </w:p>
    <w:p>
      <w:pPr>
        <w:spacing w:after="120" w:line="276"/>
      </w:pPr>
      <w:r>
        <w:rPr>
          <w:rFonts w:ascii="Calibri" w:cs="Calibri" w:eastAsia="Calibri" w:hAnsi="Calibri"/>
          <w:color w:val="1A1A1A"/>
          <w:sz w:val="21"/>
          <w:szCs w:val="21"/>
        </w:rPr>
        <w:t xml:space="preserve">A sliding window is compared by cosine similarity against each of the 21 real reference sequences; a match above 0.83 names the determinant. The window size is matched to each gene's own length rather than fixed, because the real references range from 474 bp (dfrA17) to 3,519 bp (rpoB). Comparing a 474 bp gene against a 900 bp window means half the window is host background diluting the signal; comparing a 3,519 bp gene against 900 bp compares it against a fragment of itself. Both wreck the similarity measure.</w:t>
      </w:r>
    </w:p>
    <w:p>
      <w:pPr>
        <w:spacing w:after="120" w:line="276"/>
      </w:pPr>
      <w:r>
        <w:rPr>
          <w:rFonts w:ascii="Calibri" w:cs="Calibri" w:eastAsia="Calibri" w:hAnsi="Calibri"/>
          <w:color w:val="1A1A1A"/>
          <w:sz w:val="21"/>
          <w:szCs w:val="21"/>
        </w:rPr>
        <w:t xml:space="preserve">Measured performance of this layer: 34 of 34 genes found across the 12 bundled strains, zero false positives, including a correctly clean susceptible control.</w:t>
      </w:r>
    </w:p>
    <w:p>
      <w:pPr>
        <w:pStyle w:val="Heading2"/>
        <w:spacing w:after="120" w:before="260"/>
      </w:pPr>
      <w:r>
        <w:rPr>
          <w:rFonts w:ascii="Calibri" w:cs="Calibri" w:eastAsia="Calibri" w:hAnsi="Calibri"/>
          <w:b/>
          <w:bCs/>
          <w:color w:val="1A1A1A"/>
          <w:sz w:val="24"/>
          <w:szCs w:val="24"/>
        </w:rPr>
        <w:t xml:space="preserve">7.3 Layer B — the classifier (statistical)</w:t>
      </w:r>
    </w:p>
    <w:p>
      <w:pPr>
        <w:spacing w:after="120" w:line="276"/>
      </w:pPr>
      <w:r>
        <w:rPr>
          <w:rFonts w:ascii="Calibri" w:cs="Calibri" w:eastAsia="Calibri" w:hAnsi="Calibri"/>
          <w:color w:val="1A1A1A"/>
          <w:sz w:val="21"/>
          <w:szCs w:val="21"/>
        </w:rPr>
        <w:t xml:space="preserve">The calibrated Random Forest reads the whole 1,024-feature k-mer profile and returns a probability per class. Unlike Layer A it does not require an exact reference match, so it can respond to determinants it has not been given a reference for — but it is the less precise of the two layers.</w:t>
      </w:r>
    </w:p>
    <w:p>
      <w:pPr>
        <w:pStyle w:val="Heading2"/>
        <w:spacing w:after="120" w:before="260"/>
      </w:pPr>
      <w:r>
        <w:rPr>
          <w:rFonts w:ascii="Calibri" w:cs="Calibri" w:eastAsia="Calibri" w:hAnsi="Calibri"/>
          <w:b/>
          <w:bCs/>
          <w:color w:val="1A1A1A"/>
          <w:sz w:val="24"/>
          <w:szCs w:val="24"/>
        </w:rPr>
        <w:t xml:space="preserve">7.4 The mechanism floor — letting the precise layer win</w:t>
      </w:r>
    </w:p>
    <w:p>
      <w:pPr>
        <w:spacing w:after="120" w:line="276"/>
      </w:pPr>
      <w:r>
        <w:rPr>
          <w:rFonts w:ascii="Calibri" w:cs="Calibri" w:eastAsia="Calibri" w:hAnsi="Calibri"/>
          <w:color w:val="1A1A1A"/>
          <w:sz w:val="21"/>
          <w:szCs w:val="21"/>
        </w:rPr>
        <w:t xml:space="preserve">Where Layer A fires, it overrides Layer B. This mirrors Module 1's architecture, where a curated knowledge base is authoritative for drugs it covers and the ML layer handles novel compounds. Module 3 originally did not do this, and it cost the module a measurable error:</w:t>
      </w:r>
    </w:p>
    <w:p>
      <w:pPr>
        <w:shd w:fill="F2F4F7" w:val="clear"/>
        <w:spacing w:after="140" w:before="100"/>
        <w:ind w:left="200" w:right="200"/>
      </w:pPr>
      <w:r>
        <w:rPr>
          <w:rFonts w:ascii="Consolas" w:cs="Consolas" w:eastAsia="Consolas" w:hAnsi="Consolas"/>
          <w:color w:val="1A1A1A"/>
          <w:sz w:val="19"/>
          <w:szCs w:val="19"/>
        </w:rPr>
        <w:t xml:space="preserve">P. aeruginosa (MDR) carries blaKPC-2, a carbapenemase.</w:t>
      </w:r>
    </w:p>
    <w:p>
      <w:pPr>
        <w:shd w:fill="F2F4F7" w:val="clear"/>
        <w:spacing w:after="140" w:before="100"/>
        <w:ind w:left="200" w:right="200"/>
      </w:pPr>
      <w:r>
        <w:rPr>
          <w:rFonts w:ascii="Consolas" w:cs="Consolas" w:eastAsia="Consolas" w:hAnsi="Consolas"/>
          <w:color w:val="1A1A1A"/>
          <w:sz w:val="19"/>
          <w:szCs w:val="19"/>
        </w:rPr>
        <w:t xml:space="preserve">Gene detection found it at high confidence.</w:t>
      </w:r>
    </w:p>
    <w:p>
      <w:pPr>
        <w:shd w:fill="F2F4F7" w:val="clear"/>
        <w:spacing w:after="140" w:before="100"/>
        <w:ind w:left="200" w:right="200"/>
      </w:pPr>
      <w:r>
        <w:rPr>
          <w:rFonts w:ascii="Consolas" w:cs="Consolas" w:eastAsia="Consolas" w:hAnsi="Consolas"/>
          <w:color w:val="1A1A1A"/>
          <w:sz w:val="19"/>
          <w:szCs w:val="19"/>
        </w:rPr>
        <w:t xml:space="preserve">The classifier scored Carbapenems 0.111  -&gt;  reported SUSCEPTIBLE.</w:t>
      </w:r>
    </w:p>
    <w:p>
      <w:pPr>
        <w:spacing w:after="120" w:line="276"/>
      </w:pPr>
      <w:r>
        <w:rPr>
          <w:rFonts w:ascii="Calibri" w:cs="Calibri" w:eastAsia="Calibri" w:hAnsi="Calibri"/>
          <w:color w:val="1A1A1A"/>
          <w:sz w:val="21"/>
          <w:szCs w:val="21"/>
        </w:rPr>
        <w:t xml:space="preserve">That is a very major error on a bundled strain, produced by ignoring the more reliable of the two layers. Two properties keep the override safe:</w:t>
      </w:r>
    </w:p>
    <w:p>
      <w:pPr>
        <w:pStyle w:val="ListParagraph"/>
        <w:numPr>
          <w:ilvl w:val="0"/>
          <w:numId w:val="2"/>
        </w:numPr>
        <w:spacing w:after="80" w:line="276"/>
      </w:pPr>
      <w:r>
        <w:rPr>
          <w:rFonts w:ascii="Calibri" w:cs="Calibri" w:eastAsia="Calibri" w:hAnsi="Calibri"/>
          <w:color w:val="1A1A1A"/>
          <w:sz w:val="21"/>
          <w:szCs w:val="21"/>
        </w:rPr>
        <w:t xml:space="preserve">It can only ever raise a probability, never lower one. Detecting one determinant does not cap how resistant an isolate may be.</w:t>
      </w:r>
    </w:p>
    <w:p>
      <w:pPr>
        <w:pStyle w:val="ListParagraph"/>
        <w:numPr>
          <w:ilvl w:val="0"/>
          <w:numId w:val="2"/>
        </w:numPr>
        <w:spacing w:after="80" w:line="276"/>
      </w:pPr>
      <w:r>
        <w:rPr>
          <w:rFonts w:ascii="Calibri" w:cs="Calibri" w:eastAsia="Calibri" w:hAnsi="Calibri"/>
          <w:color w:val="1A1A1A"/>
          <w:sz w:val="21"/>
          <w:szCs w:val="21"/>
        </w:rPr>
        <w:t xml:space="preserve">It fires only where a real reference sequence matches above 0.83, so it cannot invent danger from nothing.</w:t>
      </w:r>
    </w:p>
    <w:p>
      <w:pPr>
        <w:pStyle w:val="ListParagraph"/>
        <w:numPr>
          <w:ilvl w:val="0"/>
          <w:numId w:val="2"/>
        </w:numPr>
        <w:spacing w:after="80" w:line="276"/>
      </w:pPr>
      <w:r>
        <w:rPr>
          <w:rFonts w:ascii="Calibri" w:cs="Calibri" w:eastAsia="Calibri" w:hAnsi="Calibri"/>
          <w:color w:val="1A1A1A"/>
          <w:sz w:val="21"/>
          <w:szCs w:val="21"/>
        </w:rPr>
        <w:t xml:space="preserve">The floor is scaled by detection confidence, so a marginal 0.60 match does not assert resistance as loudly as a 0.96 one.</w:t>
      </w:r>
    </w:p>
    <w:p>
      <w:pPr>
        <w:pStyle w:val="Heading2"/>
        <w:spacing w:after="120" w:before="260"/>
      </w:pPr>
      <w:r>
        <w:rPr>
          <w:rFonts w:ascii="Calibri" w:cs="Calibri" w:eastAsia="Calibri" w:hAnsi="Calibri"/>
          <w:b/>
          <w:bCs/>
          <w:color w:val="1A1A1A"/>
          <w:sz w:val="24"/>
          <w:szCs w:val="24"/>
        </w:rPr>
        <w:t xml:space="preserve">7.5 Two decision thresholds, because there are two questions</w:t>
      </w:r>
    </w:p>
    <w:p>
      <w:pPr>
        <w:spacing w:after="120" w:line="276"/>
      </w:pPr>
      <w:r>
        <w:rPr>
          <w:rFonts w:ascii="Calibri" w:cs="Calibri" w:eastAsia="Calibri" w:hAnsi="Calibri"/>
          <w:color w:val="1A1A1A"/>
          <w:sz w:val="21"/>
          <w:szCs w:val="21"/>
        </w:rPr>
        <w:t xml:space="preserve">Clinical susceptibility testing does not report a binary. CLSI defines three categories — Susceptible, Intermediate, Resistant — precisely because forcing a borderline result into one of two buckets discards information. Module 3 does the same, for the same reason.</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200"/>
        <w:gridCol w:w="2400"/>
        <w:gridCol w:w="4420"/>
      </w:tblGrid>
      <w:tr>
        <w:trPr>
          <w:tblHeader/>
        </w:trPr>
        <w:tc>
          <w:tcPr>
            <w:tcW w:type="dxa" w:w="22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Probability band</w:t>
            </w:r>
          </w:p>
        </w:tc>
        <w:tc>
          <w:tcPr>
            <w:tcW w:type="dxa" w:w="2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Call</w:t>
            </w:r>
          </w:p>
        </w:tc>
        <w:tc>
          <w:tcPr>
            <w:tcW w:type="dxa" w:w="4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What it is used for</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below 0.35</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Susceptible</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action</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0.35 – 0.50</w:t>
            </w:r>
          </w:p>
        </w:tc>
        <w:tc>
          <w:tcPr>
            <w:tcW w:type="dxa" w:w="24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Equivocal</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Screen and confirm before acting; never acted on directly</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0.50 and above</w:t>
            </w:r>
          </w:p>
        </w:tc>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Resistant</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Headline risk level and the count of classes resisted</w:t>
            </w:r>
          </w:p>
        </w:tc>
      </w:tr>
    </w:tbl>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Threshold</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Rationale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0.35 — screening</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Answers "is this worth flagging?". Governs candidate blocking in the portfolio grid and finding generation. Tuned for sensitivity, because a missed danger costs a programme while a false alarm costs one confirmatory assay. It is also exactly the threshold Module 1 ships, derived independently from the same principle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0.50 — confirmed</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Answers "are we confident enough to call this resistant?". Governs the headline risk level. Tuned for specificity, because a tool that labels a clean isolate "Moderate risk" on one borderline class is the over-alerting problem that makes clinicians ignore warnings</w:t>
            </w:r>
          </w:p>
        </w:tc>
      </w:tr>
    </w:tbl>
    <w:p>
      <w:pPr>
        <w:spacing w:after="120" w:line="276"/>
      </w:pPr>
      <w:r>
        <w:rPr>
          <w:rFonts w:ascii="Calibri" w:cs="Calibri" w:eastAsia="Calibri" w:hAnsi="Calibri"/>
          <w:color w:val="1A1A1A"/>
          <w:sz w:val="21"/>
          <w:szCs w:val="21"/>
        </w:rPr>
        <w:t xml:space="preserve">This distinction was not theoretical. Dropping to a single 0.35 threshold pushed the susceptible control strain to "Moderate" on one class scoring 0.37, while the gene-detection layer found nothing in it at all. Two layers disagreeing at the margin is exactly what an equivocal band is for.</w:t>
      </w:r>
    </w:p>
    <w:p>
      <w:pPr>
        <w:pStyle w:val="Heading2"/>
        <w:spacing w:after="120" w:before="260"/>
      </w:pPr>
      <w:r>
        <w:rPr>
          <w:rFonts w:ascii="Calibri" w:cs="Calibri" w:eastAsia="Calibri" w:hAnsi="Calibri"/>
          <w:b/>
          <w:bCs/>
          <w:color w:val="1A1A1A"/>
          <w:sz w:val="24"/>
          <w:szCs w:val="24"/>
        </w:rPr>
        <w:t xml:space="preserve">7.6 Worked example — the core scan</w:t>
      </w:r>
    </w:p>
    <w:p>
      <w:pPr>
        <w:spacing w:after="120" w:line="276"/>
      </w:pPr>
      <w:r>
        <w:rPr>
          <w:rFonts w:ascii="Calibri" w:cs="Calibri" w:eastAsia="Calibri" w:hAnsi="Calibri"/>
          <w:color w:val="1A1A1A"/>
          <w:sz w:val="21"/>
          <w:szCs w:val="21"/>
        </w:rPr>
        <w:t xml:space="preserve">Live output for the bundled carbapenem-resistant K. pneumoniae strain:</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3000"/>
        <w:gridCol w:w="6020"/>
      </w:tblGrid>
      <w:tr>
        <w:trPr>
          <w:tblHeader/>
        </w:trPr>
        <w:tc>
          <w:tcPr>
            <w:tcW w:type="dxa" w:w="30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Output</w:t>
            </w:r>
          </w:p>
        </w:tc>
        <w:tc>
          <w:tcPr>
            <w:tcW w:type="dxa" w:w="60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Value</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Determinants named (confidence)</w:t>
            </w:r>
          </w:p>
        </w:tc>
        <w:tc>
          <w:tcPr>
            <w:tcW w:type="dxa" w:w="6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sul1 (0.951), blaCTX-M-15 (0.934), qnrS1 (0.901), blaNDM-1 (0.897), aac(6')-Ib (0.883) — all 5 present genes found</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Classes called resistant</w:t>
            </w:r>
          </w:p>
        </w:tc>
        <w:tc>
          <w:tcPr>
            <w:tcW w:type="dxa" w:w="6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Penicillins, Cephalosporins, Carbapenems, Fluoroquinolones, Aminoglycosides, Trimethoprim-sulfonamides</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Classes in the equivocal band</w:t>
            </w:r>
          </w:p>
        </w:tc>
        <w:tc>
          <w:tcPr>
            <w:tcW w:type="dxa" w:w="6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None</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Open-world verdict (Feature 4)</w:t>
            </w:r>
          </w:p>
        </w:tc>
        <w:tc>
          <w:tcPr>
            <w:tcW w:type="dxa" w:w="6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CLEAN; out-of-distribution badge: IN DISTRIBUTION (47.5th percentile)</w:t>
            </w:r>
          </w:p>
        </w:tc>
      </w:tr>
    </w:tbl>
    <w:p>
      <w:r>
        <w:br w:type="page"/>
      </w:r>
    </w:p>
    <w:p>
      <w:pPr>
        <w:pStyle w:val="Heading1"/>
        <w:spacing w:after="160" w:before="360"/>
      </w:pPr>
      <w:r>
        <w:rPr>
          <w:rFonts w:ascii="Calibri" w:cs="Calibri" w:eastAsia="Calibri" w:hAnsi="Calibri"/>
          <w:b/>
          <w:bCs/>
          <w:color w:val="1F4E79"/>
          <w:sz w:val="30"/>
          <w:szCs w:val="30"/>
        </w:rPr>
        <w:t xml:space="preserve">8. Features of Module 3</w:t>
      </w:r>
    </w:p>
    <w:p>
      <w:pPr>
        <w:spacing w:after="120" w:line="276"/>
      </w:pPr>
      <w:r>
        <w:rPr>
          <w:rFonts w:ascii="Calibri" w:cs="Calibri" w:eastAsia="Calibri" w:hAnsi="Calibri"/>
          <w:color w:val="1A1A1A"/>
          <w:sz w:val="21"/>
          <w:szCs w:val="21"/>
        </w:rPr>
        <w:t xml:space="preserve">Six analyses sit on top of the core scan. Each produces its own independent report, with its own verdict and its own download. They are deliberately not merged into a single number, because one number would hide exactly the disagreements a portfolio team needs to see.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500"/>
        <w:gridCol w:w="2100"/>
        <w:gridCol w:w="3400"/>
        <w:gridCol w:w="3020"/>
      </w:tblGrid>
      <w:tr>
        <w:trPr>
          <w:tblHeader/>
        </w:trPr>
        <w:tc>
          <w:tcPr>
            <w:tcW w:type="dxa" w:w="5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w:t>
            </w:r>
          </w:p>
        </w:tc>
        <w:tc>
          <w:tcPr>
            <w:tcW w:type="dxa" w:w="21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Feature</w:t>
            </w:r>
          </w:p>
        </w:tc>
        <w:tc>
          <w:tcPr>
            <w:tcW w:type="dxa" w:w="3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The question it answers</w:t>
            </w:r>
          </w:p>
        </w:tc>
        <w:tc>
          <w:tcPr>
            <w:tcW w:type="dxa" w:w="30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The gap it closes</w:t>
            </w:r>
          </w:p>
        </w:tc>
      </w:tr>
      <w:tr>
        <w:trPr>
          <w:tblHeader w:val="false"/>
        </w:trPr>
        <w:tc>
          <w:tcPr>
            <w:tcW w:type="dxa" w:w="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Resistance Runway</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Will this class still work at the launch year, not today?</w:t>
            </w:r>
          </w:p>
        </w:tc>
        <w:tc>
          <w:tcPr>
            <w:tcW w:type="dxa" w:w="3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Existing tools serve a clinician treating a patient now, not a company committing a decade of spend</w:t>
            </w:r>
          </w:p>
        </w:tc>
      </w:tr>
      <w:tr>
        <w:trPr>
          <w:tblHeader w:val="false"/>
        </w:trPr>
        <w:tc>
          <w:tcPr>
            <w:tcW w:type="dxa" w:w="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Rescue Strategy</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Resistant — but is it fixable?</w:t>
            </w:r>
          </w:p>
        </w:tc>
        <w:tc>
          <w:tcPr>
            <w:tcW w:type="dxa" w:w="3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Class-level reporting collapses metallo- and serine-carbapenemases into one verdict with opposite business outcomes</w:t>
            </w:r>
          </w:p>
        </w:tc>
      </w:tr>
      <w:tr>
        <w:trPr>
          <w:tblHeader w:val="false"/>
        </w:trPr>
        <w:tc>
          <w:tcPr>
            <w:tcW w:type="dxa" w:w="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Portfolio Screen</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Which of our N candidates survives across M organisms?</w:t>
            </w:r>
          </w:p>
        </w:tc>
        <w:tc>
          <w:tcPr>
            <w:tcW w:type="dxa" w:w="3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Competing tools are isolate-centric; committees decide at portfolio level</w:t>
            </w:r>
          </w:p>
        </w:tc>
      </w:tr>
      <w:tr>
        <w:trPr>
          <w:tblHeader w:val="false"/>
        </w:trPr>
        <w:tc>
          <w:tcPr>
            <w:tcW w:type="dxa" w:w="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4</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Dark Genome</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Is something here we cannot name?</w:t>
            </w:r>
          </w:p>
        </w:tc>
        <w:tc>
          <w:tcPr>
            <w:tcW w:type="dxa" w:w="3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Gene detectors are closed-world — their silence is indistinguishable from "all clear"</w:t>
            </w:r>
          </w:p>
        </w:tc>
      </w:tr>
      <w:tr>
        <w:trPr>
          <w:tblHeader w:val="false"/>
        </w:trPr>
        <w:tc>
          <w:tcPr>
            <w:tcW w:type="dxa" w:w="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Value of Detection</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What is finding this early actually worth?</w:t>
            </w:r>
          </w:p>
        </w:tc>
        <w:tc>
          <w:tcPr>
            <w:tcW w:type="dxa" w:w="3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output is a scientific fact; funding decisions need rupees</w:t>
            </w:r>
          </w:p>
        </w:tc>
      </w:tr>
      <w:tr>
        <w:trPr>
          <w:tblHeader w:val="false"/>
        </w:trPr>
        <w:tc>
          <w:tcPr>
            <w:tcW w:type="dxa" w:w="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6</w:t>
            </w:r>
          </w:p>
        </w:tc>
        <w:tc>
          <w:tcPr>
            <w:tcW w:type="dxa" w:w="21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Spread Velocity</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How fast is this resistance moving?</w:t>
            </w:r>
          </w:p>
        </w:tc>
        <w:tc>
          <w:tcPr>
            <w:tcW w:type="dxa" w:w="3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Resistance is reported as a static yes/no, never as a rate</w:t>
            </w:r>
          </w:p>
        </w:tc>
      </w:tr>
    </w:tbl>
    <w:p>
      <w:pPr>
        <w:pStyle w:val="Heading2"/>
        <w:spacing w:after="120" w:before="260"/>
      </w:pPr>
      <w:r>
        <w:rPr>
          <w:rFonts w:ascii="Calibri" w:cs="Calibri" w:eastAsia="Calibri" w:hAnsi="Calibri"/>
          <w:b/>
          <w:bCs/>
          <w:color w:val="1A1A1A"/>
          <w:sz w:val="24"/>
          <w:szCs w:val="24"/>
        </w:rPr>
        <w:t xml:space="preserve">8.1 Feature 1 — Resistance Runway</w:t>
      </w:r>
    </w:p>
    <w:p>
      <w:pPr>
        <w:pStyle w:val="Heading3"/>
        <w:spacing w:after="100" w:before="200"/>
      </w:pPr>
      <w:r>
        <w:rPr>
          <w:rFonts w:ascii="Calibri" w:cs="Calibri" w:eastAsia="Calibri" w:hAnsi="Calibri"/>
          <w:b/>
          <w:bCs/>
          <w:color w:val="1F4E79"/>
          <w:sz w:val="22"/>
          <w:szCs w:val="22"/>
        </w:rPr>
        <w:t xml:space="preserve">What it does</w:t>
      </w:r>
    </w:p>
    <w:p>
      <w:pPr>
        <w:spacing w:after="120" w:line="276"/>
      </w:pPr>
      <w:r>
        <w:rPr>
          <w:rFonts w:ascii="Calibri" w:cs="Calibri" w:eastAsia="Calibri" w:hAnsi="Calibri"/>
          <w:color w:val="1A1A1A"/>
          <w:sz w:val="21"/>
          <w:szCs w:val="21"/>
        </w:rPr>
        <w:t xml:space="preserve">Fits a trajectory to the real ICMR AMRSN series for a chosen organism and antibiotic class, and projects it to a user-specified launch year, returning a verdict on whether the class will still be commercially viable then.</w:t>
      </w:r>
    </w:p>
    <w:p>
      <w:pPr>
        <w:pStyle w:val="Heading3"/>
        <w:spacing w:after="100" w:before="200"/>
      </w:pPr>
      <w:r>
        <w:rPr>
          <w:rFonts w:ascii="Calibri" w:cs="Calibri" w:eastAsia="Calibri" w:hAnsi="Calibri"/>
          <w:b/>
          <w:bCs/>
          <w:color w:val="1F4E79"/>
          <w:sz w:val="22"/>
          <w:szCs w:val="22"/>
        </w:rPr>
        <w:t xml:space="preserve">Method</w:t>
      </w:r>
    </w:p>
    <w:p>
      <w:pPr>
        <w:pStyle w:val="ListParagraph"/>
        <w:numPr>
          <w:ilvl w:val="0"/>
          <w:numId w:val="2"/>
        </w:numPr>
        <w:spacing w:after="80" w:line="276"/>
      </w:pPr>
      <w:r>
        <w:rPr>
          <w:rFonts w:ascii="Calibri" w:cs="Calibri" w:eastAsia="Calibri" w:hAnsi="Calibri"/>
          <w:color w:val="1A1A1A"/>
          <w:sz w:val="21"/>
          <w:szCs w:val="21"/>
        </w:rPr>
        <w:t xml:space="preserve">A logistic curve, not a straight line, because resistance is bounded. K. pneumoniae carbapenem resistance has risen roughly 4 percentage points a year since 2016; a straight line extended to 2035 exceeds 110%, which is not a number.</w:t>
      </w:r>
    </w:p>
    <w:p>
      <w:pPr>
        <w:pStyle w:val="ListParagraph"/>
        <w:numPr>
          <w:ilvl w:val="0"/>
          <w:numId w:val="2"/>
        </w:numPr>
        <w:spacing w:after="80" w:line="276"/>
      </w:pPr>
      <w:r>
        <w:rPr>
          <w:rFonts w:ascii="Calibri" w:cs="Calibri" w:eastAsia="Calibri" w:hAnsi="Calibri"/>
          <w:color w:val="1A1A1A"/>
          <w:sz w:val="21"/>
          <w:szCs w:val="21"/>
        </w:rPr>
        <w:t xml:space="preserve">Fitted by ordinary least squares in logit space rather than with a non-linear optimiser. With only nine annual points a general curve fit can fail to converge or settle on a wild asymptote; the logit transform makes it a stable linear regression.</w:t>
      </w:r>
    </w:p>
    <w:p>
      <w:pPr>
        <w:pStyle w:val="ListParagraph"/>
        <w:numPr>
          <w:ilvl w:val="0"/>
          <w:numId w:val="2"/>
        </w:numPr>
        <w:spacing w:after="80" w:line="276"/>
      </w:pPr>
      <w:r>
        <w:rPr>
          <w:rFonts w:ascii="Calibri" w:cs="Calibri" w:eastAsia="Calibri" w:hAnsi="Calibri"/>
          <w:color w:val="1A1A1A"/>
          <w:sz w:val="21"/>
          <w:szCs w:val="21"/>
        </w:rPr>
        <w:t xml:space="preserve">The ceiling is 99.0%, not 100%: resistance approaches but does not reach 100%, and fitting toward exactly 100 makes the logit diverge on observed values such as 98.7%.</w:t>
      </w:r>
    </w:p>
    <w:p>
      <w:pPr>
        <w:pStyle w:val="ListParagraph"/>
        <w:numPr>
          <w:ilvl w:val="0"/>
          <w:numId w:val="2"/>
        </w:numPr>
        <w:spacing w:after="80" w:line="276"/>
      </w:pPr>
      <w:r>
        <w:rPr>
          <w:rFonts w:ascii="Calibri" w:cs="Calibri" w:eastAsia="Calibri" w:hAnsi="Calibri"/>
          <w:color w:val="1A1A1A"/>
          <w:sz w:val="21"/>
          <w:szCs w:val="21"/>
        </w:rPr>
        <w:t xml:space="preserve">Where a series shows no meaningful variation (standard deviation below 0.5 percentage points — for example vancomycin resistance in S. aureus, which is 0.0% in almost every year), the module holds the value flat instead of fitting a slope through noise.</w:t>
      </w:r>
    </w:p>
    <w:p>
      <w:pPr>
        <w:pStyle w:val="ListParagraph"/>
        <w:numPr>
          <w:ilvl w:val="0"/>
          <w:numId w:val="2"/>
        </w:numPr>
        <w:spacing w:after="80" w:line="276"/>
      </w:pPr>
      <w:r>
        <w:rPr>
          <w:rFonts w:ascii="Calibri" w:cs="Calibri" w:eastAsia="Calibri" w:hAnsi="Calibri"/>
          <w:color w:val="1A1A1A"/>
          <w:sz w:val="21"/>
          <w:szCs w:val="21"/>
        </w:rPr>
        <w:t xml:space="preserve">The uncertainty band widens with projection distance. The source explicitly labels this "an honest cone, not a strict statistical confidence interval", and the UI repeats that caveat.</w:t>
      </w:r>
    </w:p>
    <w:p>
      <w:pPr>
        <w:pStyle w:val="Heading3"/>
        <w:spacing w:after="100" w:before="200"/>
      </w:pPr>
      <w:r>
        <w:rPr>
          <w:rFonts w:ascii="Calibri" w:cs="Calibri" w:eastAsia="Calibri" w:hAnsi="Calibri"/>
          <w:b/>
          <w:bCs/>
          <w:color w:val="1F4E79"/>
          <w:sz w:val="22"/>
          <w:szCs w:val="22"/>
        </w:rPr>
        <w:t xml:space="preserve">Verdict thresholds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000"/>
        <w:gridCol w:w="7020"/>
      </w:tblGrid>
      <w:tr>
        <w:trPr>
          <w:tblHeader/>
        </w:trPr>
        <w:tc>
          <w:tcPr>
            <w:tcW w:type="dxa" w:w="20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Verdict</w:t>
            </w:r>
          </w:p>
        </w:tc>
        <w:tc>
          <w:tcPr>
            <w:tcW w:type="dxa" w:w="70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Trigger</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CLOSED</w:t>
            </w:r>
          </w:p>
        </w:tc>
        <w:tc>
          <w:tcPr>
            <w:tcW w:type="dxa" w:w="7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Projected resistance at launch ≥ 75%</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CLOSING</w:t>
            </w:r>
          </w:p>
        </w:tc>
        <w:tc>
          <w:tcPr>
            <w:tcW w:type="dxa" w:w="7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Runway ≤ 5 years, or projected resistance ≥ 65%</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NARROWING</w:t>
            </w:r>
          </w:p>
        </w:tc>
        <w:tc>
          <w:tcPr>
            <w:tcW w:type="dxa" w:w="7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Runway ≤ 12 years, or projected resistance ≥ 45%</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VIABLE</w:t>
            </w:r>
          </w:p>
        </w:tc>
        <w:tc>
          <w:tcPr>
            <w:tcW w:type="dxa" w:w="7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None of the above</w:t>
            </w:r>
          </w:p>
        </w:tc>
      </w:tr>
      <w:tr>
        <w:trPr>
          <w:tblHeader w:val="false"/>
        </w:trPr>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UNKNOWN</w:t>
            </w:r>
          </w:p>
        </w:tc>
        <w:tc>
          <w:tcPr>
            <w:tcW w:type="dxa" w:w="70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surveillance series exists for this organism or class — reported, never substituted</w:t>
            </w:r>
          </w:p>
        </w:tc>
      </w:tr>
    </w:tbl>
    <w:p>
      <w:pPr>
        <w:spacing w:after="120" w:line="276"/>
      </w:pPr>
      <w:r>
        <w:rPr>
          <w:rFonts w:ascii="Calibri" w:cs="Calibri" w:eastAsia="Calibri" w:hAnsi="Calibri"/>
          <w:color w:val="1A1A1A"/>
          <w:sz w:val="21"/>
          <w:szCs w:val="21"/>
        </w:rPr>
        <w:t xml:space="preserve">Two independent triggers are used because judging on the crossing year alone would report 65% resistance at launch as VIABLE.</w:t>
      </w:r>
    </w:p>
    <w:p>
      <w:pPr>
        <w:pStyle w:val="Heading3"/>
        <w:spacing w:after="100" w:before="200"/>
      </w:pPr>
      <w:r>
        <w:rPr>
          <w:rFonts w:ascii="Calibri" w:cs="Calibri" w:eastAsia="Calibri" w:hAnsi="Calibri"/>
          <w:b/>
          <w:bCs/>
          <w:color w:val="1F4E79"/>
          <w:sz w:val="22"/>
          <w:szCs w:val="22"/>
        </w:rPr>
        <w:t xml:space="preserve">Worked example</w:t>
      </w:r>
    </w:p>
    <w:p>
      <w:pPr>
        <w:shd w:fill="F2F4F7" w:val="clear"/>
        <w:spacing w:after="140" w:before="100"/>
        <w:ind w:left="200" w:right="200"/>
      </w:pPr>
      <w:r>
        <w:rPr>
          <w:rFonts w:ascii="Consolas" w:cs="Consolas" w:eastAsia="Consolas" w:hAnsi="Consolas"/>
          <w:color w:val="1A1A1A"/>
          <w:sz w:val="19"/>
          <w:szCs w:val="19"/>
        </w:rPr>
        <w:t xml:space="preserve">Klebsiella pneumoniae x Carbapenems, launch year 2035</w:t>
      </w:r>
    </w:p>
    <w:p>
      <w:pPr>
        <w:shd w:fill="F2F4F7" w:val="clear"/>
        <w:spacing w:after="140" w:before="100"/>
        <w:ind w:left="200" w:right="200"/>
      </w:pPr>
      <w:r>
        <w:rPr>
          <w:rFonts w:ascii="Consolas" w:cs="Consolas" w:eastAsia="Consolas" w:hAnsi="Consolas"/>
          <w:color w:val="1A1A1A"/>
          <w:sz w:val="19"/>
          <w:szCs w:val="19"/>
        </w:rPr>
        <w:t xml:space="preserve">  today (2024): 65.6%   -&gt;  projected at launch: 84.0%  [cone 79.5-87.6]</w:t>
      </w:r>
    </w:p>
    <w:p>
      <w:pPr>
        <w:shd w:fill="F2F4F7" w:val="clear"/>
        <w:spacing w:after="140" w:before="100"/>
        <w:ind w:left="200" w:right="200"/>
      </w:pPr>
      <w:r>
        <w:rPr>
          <w:rFonts w:ascii="Consolas" w:cs="Consolas" w:eastAsia="Consolas" w:hAnsi="Consolas"/>
          <w:color w:val="1A1A1A"/>
          <w:sz w:val="19"/>
          <w:szCs w:val="19"/>
        </w:rPr>
        <w:t xml:space="preserve">  runway: 6 years        verdict: CLOSED</w:t>
      </w:r>
    </w:p>
    <w:p>
      <w:pPr>
        <w:spacing w:after="120" w:line="276"/>
      </w:pPr>
      <w:r>
        <w:rPr>
          <w:rFonts w:ascii="Calibri" w:cs="Calibri" w:eastAsia="Calibri" w:hAnsi="Calibri"/>
          <w:color w:val="1A1A1A"/>
          <w:sz w:val="21"/>
          <w:szCs w:val="21"/>
        </w:rPr>
        <w:t xml:space="preserve">Read as a business statement: a carbapenem programme aimed at Indian Klebsiella and launching in 2035 is being designed for an organism that will defeat its class in roughly five out of six cases.</w:t>
      </w:r>
    </w:p>
    <w:p>
      <w:pPr>
        <w:pStyle w:val="Heading3"/>
        <w:spacing w:after="100" w:before="200"/>
      </w:pPr>
      <w:r>
        <w:rPr>
          <w:rFonts w:ascii="Calibri" w:cs="Calibri" w:eastAsia="Calibri" w:hAnsi="Calibri"/>
          <w:b/>
          <w:bCs/>
          <w:color w:val="1F4E79"/>
          <w:sz w:val="22"/>
          <w:szCs w:val="22"/>
        </w:rPr>
        <w:t xml:space="preserve">Dependencies</w:t>
      </w:r>
    </w:p>
    <w:p>
      <w:pPr>
        <w:pStyle w:val="ListParagraph"/>
        <w:numPr>
          <w:ilvl w:val="0"/>
          <w:numId w:val="2"/>
        </w:numPr>
        <w:spacing w:after="80" w:line="276"/>
      </w:pPr>
      <w:r>
        <w:rPr>
          <w:rFonts w:ascii="Calibri" w:cs="Calibri" w:eastAsia="Calibri" w:hAnsi="Calibri"/>
          <w:color w:val="1A1A1A"/>
          <w:sz w:val="21"/>
          <w:szCs w:val="21"/>
        </w:rPr>
        <w:t xml:space="preserve">Consumes: the organism identity from the core scan; the antibiotic class from the candidate under assessment (Module 1's drug definitions).</w:t>
      </w:r>
    </w:p>
    <w:p>
      <w:pPr>
        <w:pStyle w:val="ListParagraph"/>
        <w:numPr>
          <w:ilvl w:val="0"/>
          <w:numId w:val="2"/>
        </w:numPr>
        <w:spacing w:after="80" w:line="276"/>
      </w:pPr>
      <w:r>
        <w:rPr>
          <w:rFonts w:ascii="Calibri" w:cs="Calibri" w:eastAsia="Calibri" w:hAnsi="Calibri"/>
          <w:color w:val="1A1A1A"/>
          <w:sz w:val="21"/>
          <w:szCs w:val="21"/>
        </w:rPr>
        <w:t xml:space="preserve">Consumes from Feature 6: a mobility multiplier, which shortens the runway when the determinant is horizontally transferable.</w:t>
      </w:r>
    </w:p>
    <w:p>
      <w:pPr>
        <w:pStyle w:val="ListParagraph"/>
        <w:numPr>
          <w:ilvl w:val="0"/>
          <w:numId w:val="2"/>
        </w:numPr>
        <w:spacing w:after="80" w:line="276"/>
      </w:pPr>
      <w:r>
        <w:rPr>
          <w:rFonts w:ascii="Calibri" w:cs="Calibri" w:eastAsia="Calibri" w:hAnsi="Calibri"/>
          <w:color w:val="1A1A1A"/>
          <w:sz w:val="21"/>
          <w:szCs w:val="21"/>
        </w:rPr>
        <w:t xml:space="preserve">Independent of: the classifier's probability output. Feature 1 reads real surveillance data, not model predictions — which is why it can be backtested against reality (§10.5).</w:t>
      </w:r>
    </w:p>
    <w:p>
      <w:pPr>
        <w:pStyle w:val="Heading2"/>
        <w:spacing w:after="120" w:before="260"/>
      </w:pPr>
      <w:r>
        <w:rPr>
          <w:rFonts w:ascii="Calibri" w:cs="Calibri" w:eastAsia="Calibri" w:hAnsi="Calibri"/>
          <w:b/>
          <w:bCs/>
          <w:color w:val="1A1A1A"/>
          <w:sz w:val="24"/>
          <w:szCs w:val="24"/>
        </w:rPr>
        <w:t xml:space="preserve">8.2 Feature 2 — Rescue Strategy</w:t>
      </w:r>
    </w:p>
    <w:p>
      <w:pPr>
        <w:pStyle w:val="Heading3"/>
        <w:spacing w:after="100" w:before="200"/>
      </w:pPr>
      <w:r>
        <w:rPr>
          <w:rFonts w:ascii="Calibri" w:cs="Calibri" w:eastAsia="Calibri" w:hAnsi="Calibri"/>
          <w:b/>
          <w:bCs/>
          <w:color w:val="1F4E79"/>
          <w:sz w:val="22"/>
          <w:szCs w:val="22"/>
        </w:rPr>
        <w:t xml:space="preserve">What it does</w:t>
      </w:r>
    </w:p>
    <w:p>
      <w:pPr>
        <w:spacing w:after="120" w:line="276"/>
      </w:pPr>
      <w:r>
        <w:rPr>
          <w:rFonts w:ascii="Calibri" w:cs="Calibri" w:eastAsia="Calibri" w:hAnsi="Calibri"/>
          <w:color w:val="1A1A1A"/>
          <w:sz w:val="21"/>
          <w:szCs w:val="21"/>
        </w:rPr>
        <w:t xml:space="preserve">Converts a resistant verdict into a business decision by reporting the mechanism behind it and whether an existing inhibitor or a next-generation agent defeats that mechanism. Every one of the 21 determinants carries a mechanism family, an enzyme subtype and a rescue-viability annotation.</w:t>
      </w:r>
    </w:p>
    <w:p>
      <w:pPr>
        <w:pStyle w:val="Heading3"/>
        <w:spacing w:after="100" w:before="200"/>
      </w:pPr>
      <w:r>
        <w:rPr>
          <w:rFonts w:ascii="Calibri" w:cs="Calibri" w:eastAsia="Calibri" w:hAnsi="Calibri"/>
          <w:b/>
          <w:bCs/>
          <w:color w:val="1F4E79"/>
          <w:sz w:val="22"/>
          <w:szCs w:val="22"/>
        </w:rPr>
        <w:t xml:space="preserve">The distinction that justifies the feature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1900"/>
        <w:gridCol w:w="3400"/>
        <w:gridCol w:w="3720"/>
      </w:tblGrid>
      <w:tr>
        <w:trPr>
          <w:tblHeader/>
        </w:trPr>
        <w:tc>
          <w:tcPr>
            <w:tcW w:type="dxa" w:w="19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Determinant</w:t>
            </w:r>
          </w:p>
        </w:tc>
        <w:tc>
          <w:tcPr>
            <w:tcW w:type="dxa" w:w="3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Mechanism</w:t>
            </w:r>
          </w:p>
        </w:tc>
        <w:tc>
          <w:tcPr>
            <w:tcW w:type="dxa" w:w="37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Recoverable?</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blaKPC-2</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Serine carbapenemase (class A)</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 avibactam / vaborbactam / relebactam</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blaOXA-48</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Serine oxacillinase (class D)</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PARTIAL — avibactam yes, vaborbactam no</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blaNDM-1</w:t>
            </w:r>
          </w:p>
        </w:tc>
        <w:tc>
          <w:tcPr>
            <w:tcW w:type="dxa" w:w="34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Metallo-beta-lactamase (class B, zinc)</w:t>
            </w:r>
          </w:p>
        </w:tc>
        <w:tc>
          <w:tcPr>
            <w:tcW w:type="dxa" w:w="37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NO — serine-enzyme inhibitors do not touch it</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blaVIM / blaIMP</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Metallo-beta-lactamase (class B, zinc)</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 same reason as blaNDM-1</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mecA</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Target modification (PBP2a)</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 no enzyme to inhibit; ceftaroline is the exception</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aac(6')-Ib</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Drug modification (acetyltransferase)</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 plazomicin is stable to it</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armA</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16S rRNA methylation</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 defeats all aminoglycosides, plazomicin included</w:t>
            </w:r>
          </w:p>
        </w:tc>
      </w:tr>
      <w:tr>
        <w:trPr>
          <w:tblHeader w:val="false"/>
        </w:trPr>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blaSHV</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Serine ESBL (class A)</w:t>
            </w:r>
          </w:p>
        </w:tc>
        <w:tc>
          <w:tcPr>
            <w:tcW w:type="dxa" w:w="37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 avibactam / tazobactam</w:t>
            </w:r>
          </w:p>
        </w:tc>
      </w:tr>
    </w:tbl>
    <w:p>
      <w:pPr>
        <w:spacing w:after="120" w:line="276"/>
      </w:pPr>
      <w:r>
        <w:rPr>
          <w:rFonts w:ascii="Calibri" w:cs="Calibri" w:eastAsia="Calibri" w:hAnsi="Calibri"/>
          <w:b/>
          <w:bCs/>
          <w:color w:val="1A1A1A"/>
          <w:sz w:val="21"/>
          <w:szCs w:val="21"/>
        </w:rPr>
        <w:t xml:space="preserve">blaNDM-1 and blaKPC-2 produce the identical class-level verdict "carbapenem resistant". </w:t>
      </w:r>
      <w:r>
        <w:rPr>
          <w:rFonts w:ascii="Calibri" w:cs="Calibri" w:eastAsia="Calibri" w:hAnsi="Calibri"/>
          <w:color w:val="1A1A1A"/>
          <w:sz w:val="21"/>
          <w:szCs w:val="21"/>
        </w:rPr>
        <w:t xml:space="preserve">One implies a formulation change and a surviving programme; the other implies abandoning the programme. Any tool that reports only the class outcome gives a portfolio committee the same answer for two opposite decisions. Live output confirms the separation: blaNDM-1 returns </w:t>
      </w:r>
      <w:r>
        <w:rPr>
          <w:rFonts w:ascii="Calibri" w:cs="Calibri" w:eastAsia="Calibri" w:hAnsi="Calibri"/>
          <w:b/>
          <w:bCs/>
          <w:color w:val="1A1A1A"/>
          <w:sz w:val="21"/>
          <w:szCs w:val="21"/>
        </w:rPr>
        <w:t xml:space="preserve">DEAD END</w:t>
      </w:r>
      <w:r>
        <w:rPr>
          <w:rFonts w:ascii="Calibri" w:cs="Calibri" w:eastAsia="Calibri" w:hAnsi="Calibri"/>
          <w:color w:val="1A1A1A"/>
          <w:sz w:val="21"/>
          <w:szCs w:val="21"/>
        </w:rPr>
        <w:t xml:space="preserve">, blaKPC-2 returns </w:t>
      </w:r>
      <w:r>
        <w:rPr>
          <w:rFonts w:ascii="Calibri" w:cs="Calibri" w:eastAsia="Calibri" w:hAnsi="Calibri"/>
          <w:b/>
          <w:bCs/>
          <w:color w:val="1A1A1A"/>
          <w:sz w:val="21"/>
          <w:szCs w:val="21"/>
        </w:rPr>
        <w:t xml:space="preserve">SALVAGEABLE</w:t>
      </w:r>
      <w:r>
        <w:rPr>
          <w:rFonts w:ascii="Calibri" w:cs="Calibri" w:eastAsia="Calibri" w:hAnsi="Calibri"/>
          <w:color w:val="1A1A1A"/>
          <w:sz w:val="21"/>
          <w:szCs w:val="21"/>
        </w:rPr>
        <w:t xml:space="preserve">.</w:t>
      </w:r>
    </w:p>
    <w:p>
      <w:pPr>
        <w:pStyle w:val="Heading3"/>
        <w:spacing w:after="100" w:before="200"/>
      </w:pPr>
      <w:r>
        <w:rPr>
          <w:rFonts w:ascii="Calibri" w:cs="Calibri" w:eastAsia="Calibri" w:hAnsi="Calibri"/>
          <w:b/>
          <w:bCs/>
          <w:color w:val="1F4E79"/>
          <w:sz w:val="22"/>
          <w:szCs w:val="22"/>
        </w:rPr>
        <w:t xml:space="preserve">Verdict rules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200"/>
        <w:gridCol w:w="6820"/>
      </w:tblGrid>
      <w:tr>
        <w:trPr>
          <w:tblHeader/>
        </w:trPr>
        <w:tc>
          <w:tcPr>
            <w:tcW w:type="dxa" w:w="22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Verdict</w:t>
            </w:r>
          </w:p>
        </w:tc>
        <w:tc>
          <w:tcPr>
            <w:tcW w:type="dxa" w:w="68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Rule</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CLEAR</w:t>
            </w:r>
          </w:p>
        </w:tc>
        <w:tc>
          <w:tcPr>
            <w:tcW w:type="dxa" w:w="6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detected determinant blocks the candidate's class</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SALVAGEABLE</w:t>
            </w:r>
          </w:p>
        </w:tc>
        <w:tc>
          <w:tcPr>
            <w:tcW w:type="dxa" w:w="6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Every blocking determinant has an established rescue route</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PARTIAL</w:t>
            </w:r>
          </w:p>
        </w:tc>
        <w:tc>
          <w:tcPr>
            <w:tcW w:type="dxa" w:w="6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At least one blocking determinant is only partially rescuable — for example blaOXA-48, which avibactam inhibits but vaborbactam does not</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DEAD END</w:t>
            </w:r>
          </w:p>
        </w:tc>
        <w:tc>
          <w:tcPr>
            <w:tcW w:type="dxa" w:w="6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At least one blocking determinant has no viable rescue route. The worst blocker governs — one unrescuable determinant among rescuable ones still yields DEAD END, because "rescuing one enzyme while another still destroys the drug is not a rescue"</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NOT SCREENED</w:t>
            </w:r>
          </w:p>
        </w:tc>
        <w:tc>
          <w:tcPr>
            <w:tcW w:type="dxa" w:w="6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candidate's antibiotic class is outside the twelve Module 3 screens — reported explicitly rather than as "clear"</w:t>
            </w:r>
          </w:p>
        </w:tc>
      </w:tr>
    </w:tbl>
    <w:p>
      <w:pPr>
        <w:spacing w:after="120" w:line="276"/>
      </w:pPr>
      <w:r>
        <w:rPr>
          <w:rFonts w:ascii="Calibri" w:cs="Calibri" w:eastAsia="Calibri" w:hAnsi="Calibri"/>
          <w:color w:val="1A1A1A"/>
          <w:sz w:val="21"/>
          <w:szCs w:val="21"/>
        </w:rPr>
        <w:t xml:space="preserve">Two details worth a reviewer's note. A rescue status of "unknown" is treated as DEAD END, so an unknown is never counted as rescuable. And a determinant the module does not recognise is skipped rather than guessed at.</w:t>
      </w:r>
    </w:p>
    <w:p>
      <w:pPr>
        <w:spacing w:after="120" w:line="276"/>
      </w:pPr>
      <w:r>
        <w:rPr>
          <w:rFonts w:ascii="Calibri" w:cs="Calibri" w:eastAsia="Calibri" w:hAnsi="Calibri"/>
          <w:color w:val="1A1A1A"/>
          <w:sz w:val="21"/>
          <w:szCs w:val="21"/>
        </w:rPr>
        <w:t xml:space="preserve">Of the 21 determinants, 5 are annotated fully rescuable (blaTEM-1, blaCTX-M-15, blaKPC-2, blaSHV, aac(6')-Ib), 4 partially (blaOXA-48, tetM, qnrS1, cfr) and 12 not rescuable (including all three metallo-beta-lactamases, mecA, vanA, armA and both point mutations).</w:t>
      </w:r>
    </w:p>
    <w:p>
      <w:pPr>
        <w:pStyle w:val="Heading3"/>
        <w:spacing w:after="100" w:before="200"/>
      </w:pPr>
      <w:r>
        <w:rPr>
          <w:rFonts w:ascii="Calibri" w:cs="Calibri" w:eastAsia="Calibri" w:hAnsi="Calibri"/>
          <w:b/>
          <w:bCs/>
          <w:color w:val="1F4E79"/>
          <w:sz w:val="22"/>
          <w:szCs w:val="22"/>
        </w:rPr>
        <w:t xml:space="preserve">Dependencies</w:t>
      </w:r>
    </w:p>
    <w:p>
      <w:pPr>
        <w:pStyle w:val="ListParagraph"/>
        <w:numPr>
          <w:ilvl w:val="0"/>
          <w:numId w:val="2"/>
        </w:numPr>
        <w:spacing w:after="80" w:line="276"/>
      </w:pPr>
      <w:r>
        <w:rPr>
          <w:rFonts w:ascii="Calibri" w:cs="Calibri" w:eastAsia="Calibri" w:hAnsi="Calibri"/>
          <w:color w:val="1A1A1A"/>
          <w:sz w:val="21"/>
          <w:szCs w:val="21"/>
        </w:rPr>
        <w:t xml:space="preserve">Consumes: the named determinants from Layer A of the core scan, with their confidences.</w:t>
      </w:r>
    </w:p>
    <w:p>
      <w:pPr>
        <w:pStyle w:val="ListParagraph"/>
        <w:numPr>
          <w:ilvl w:val="0"/>
          <w:numId w:val="2"/>
        </w:numPr>
        <w:spacing w:after="80" w:line="276"/>
      </w:pPr>
      <w:r>
        <w:rPr>
          <w:rFonts w:ascii="Calibri" w:cs="Calibri" w:eastAsia="Calibri" w:hAnsi="Calibri"/>
          <w:color w:val="1A1A1A"/>
          <w:sz w:val="21"/>
          <w:szCs w:val="21"/>
        </w:rPr>
        <w:t xml:space="preserve">Feeds: Feature 3's portfolio verdict, and the recommended actions in the unified report.</w:t>
      </w:r>
    </w:p>
    <w:p>
      <w:pPr>
        <w:pStyle w:val="Heading2"/>
        <w:spacing w:after="120" w:before="260"/>
      </w:pPr>
      <w:r>
        <w:rPr>
          <w:rFonts w:ascii="Calibri" w:cs="Calibri" w:eastAsia="Calibri" w:hAnsi="Calibri"/>
          <w:b/>
          <w:bCs/>
          <w:color w:val="1A1A1A"/>
          <w:sz w:val="24"/>
          <w:szCs w:val="24"/>
        </w:rPr>
        <w:t xml:space="preserve">8.3 Feature 3 — Portfolio Screen</w:t>
      </w:r>
    </w:p>
    <w:p>
      <w:pPr>
        <w:pStyle w:val="Heading3"/>
        <w:spacing w:after="100" w:before="200"/>
      </w:pPr>
      <w:r>
        <w:rPr>
          <w:rFonts w:ascii="Calibri" w:cs="Calibri" w:eastAsia="Calibri" w:hAnsi="Calibri"/>
          <w:b/>
          <w:bCs/>
          <w:color w:val="1F4E79"/>
          <w:sz w:val="22"/>
          <w:szCs w:val="22"/>
        </w:rPr>
        <w:t xml:space="preserve">What it does</w:t>
      </w:r>
    </w:p>
    <w:p>
      <w:pPr>
        <w:spacing w:after="120" w:line="276"/>
      </w:pPr>
      <w:r>
        <w:rPr>
          <w:rFonts w:ascii="Calibri" w:cs="Calibri" w:eastAsia="Calibri" w:hAnsi="Calibri"/>
          <w:color w:val="1A1A1A"/>
          <w:sz w:val="21"/>
          <w:szCs w:val="21"/>
        </w:rPr>
        <w:t xml:space="preserve">Screens N candidate drugs against M target organisms in one pass, producing a grid of N × M calls, a per-candidate viability score, a ranking and a single recommendation. This matches the level at which R&amp;D funding is actually decided: not "is this isolate resistant?" but "which three of our ten candidates should we fund this quarter?".</w:t>
      </w:r>
    </w:p>
    <w:p>
      <w:pPr>
        <w:pStyle w:val="Heading3"/>
        <w:spacing w:after="100" w:before="200"/>
      </w:pPr>
      <w:r>
        <w:rPr>
          <w:rFonts w:ascii="Calibri" w:cs="Calibri" w:eastAsia="Calibri" w:hAnsi="Calibri"/>
          <w:b/>
          <w:bCs/>
          <w:color w:val="1F4E79"/>
          <w:sz w:val="22"/>
          <w:szCs w:val="22"/>
        </w:rPr>
        <w:t xml:space="preserve">Worked example</w:t>
      </w:r>
    </w:p>
    <w:p>
      <w:pPr>
        <w:shd w:fill="F2F4F7" w:val="clear"/>
        <w:spacing w:after="140" w:before="100"/>
        <w:ind w:left="200" w:right="200"/>
      </w:pPr>
      <w:r>
        <w:rPr>
          <w:rFonts w:ascii="Consolas" w:cs="Consolas" w:eastAsia="Consolas" w:hAnsi="Consolas"/>
          <w:color w:val="1A1A1A"/>
          <w:sz w:val="19"/>
          <w:szCs w:val="19"/>
        </w:rPr>
        <w:t xml:space="preserve">3 candidates x 4 organisms = 12 cells, screened in 14.5 s</w:t>
      </w:r>
    </w:p>
    <w:p>
      <w:pPr>
        <w:shd w:fill="F2F4F7" w:val="clear"/>
        <w:spacing w:after="140" w:before="100"/>
        <w:ind w:left="200" w:right="200"/>
      </w:pPr>
      <w:r>
        <w:rPr>
          <w:rFonts w:ascii="Consolas" w:cs="Consolas" w:eastAsia="Consolas" w:hAnsi="Consolas"/>
          <w:color w:val="1A1A1A"/>
          <w:sz w:val="19"/>
          <w:szCs w:val="19"/>
        </w:rPr>
        <w:t xml:space="preserve">  Verdict: CLEAR LEADER</w:t>
      </w:r>
    </w:p>
    <w:p>
      <w:pPr>
        <w:shd w:fill="F2F4F7" w:val="clear"/>
        <w:spacing w:after="140" w:before="100"/>
        <w:ind w:left="200" w:right="200"/>
      </w:pPr>
      <w:r>
        <w:rPr>
          <w:rFonts w:ascii="Consolas" w:cs="Consolas" w:eastAsia="Consolas" w:hAnsi="Consolas"/>
          <w:color w:val="1A1A1A"/>
          <w:sz w:val="19"/>
          <w:szCs w:val="19"/>
        </w:rPr>
        <w:t xml:space="preserve">  Linezolid (Oxazolidinones) viable against 4 of 4 organisms</w:t>
      </w:r>
    </w:p>
    <w:p>
      <w:pPr>
        <w:shd w:fill="F2F4F7" w:val="clear"/>
        <w:spacing w:after="140" w:before="100"/>
        <w:ind w:left="200" w:right="200"/>
      </w:pPr>
      <w:r>
        <w:rPr>
          <w:rFonts w:ascii="Consolas" w:cs="Consolas" w:eastAsia="Consolas" w:hAnsi="Consolas"/>
          <w:color w:val="1A1A1A"/>
          <w:sz w:val="19"/>
          <w:szCs w:val="19"/>
        </w:rPr>
        <w:t xml:space="preserve">  Meropenem blocked against 3 organisms, including the highest-burden targets</w:t>
      </w:r>
    </w:p>
    <w:p>
      <w:pPr>
        <w:shd w:fill="F2F4F7" w:val="clear"/>
        <w:spacing w:after="140" w:before="100"/>
        <w:ind w:left="200" w:right="200"/>
      </w:pPr>
      <w:r>
        <w:rPr>
          <w:rFonts w:ascii="Consolas" w:cs="Consolas" w:eastAsia="Consolas" w:hAnsi="Consolas"/>
          <w:color w:val="1A1A1A"/>
          <w:sz w:val="19"/>
          <w:szCs w:val="19"/>
        </w:rPr>
        <w:t xml:space="preserve">  Recommendation: Advance Linezolid.</w:t>
      </w:r>
    </w:p>
    <w:p>
      <w:pPr>
        <w:pStyle w:val="Heading3"/>
        <w:spacing w:after="100" w:before="200"/>
      </w:pPr>
      <w:r>
        <w:rPr>
          <w:rFonts w:ascii="Calibri" w:cs="Calibri" w:eastAsia="Calibri" w:hAnsi="Calibri"/>
          <w:b/>
          <w:bCs/>
          <w:color w:val="1F4E79"/>
          <w:sz w:val="22"/>
          <w:szCs w:val="22"/>
        </w:rPr>
        <w:t xml:space="preserve">Verdicts and ranking</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Verdict</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Trigger</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CLEAR LEADER</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One candidate is viable against strictly more organisms than any other</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CONTESTED</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top two candidates are viable against the same number of organisms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VIABLE CANDIDATE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candidate survives against any organism on the panel</w:t>
            </w:r>
          </w:p>
        </w:tc>
      </w:tr>
    </w:tbl>
    <w:p>
      <w:pPr>
        <w:spacing w:after="120" w:line="276"/>
      </w:pPr>
      <w:r>
        <w:rPr>
          <w:rFonts w:ascii="Calibri" w:cs="Calibri" w:eastAsia="Calibri" w:hAnsi="Calibri"/>
          <w:color w:val="1A1A1A"/>
          <w:sz w:val="21"/>
          <w:szCs w:val="21"/>
        </w:rPr>
        <w:t xml:space="preserve">A candidate is blocked against an organism at the 0.35 screening threshold, not the 0.50 confirmed one. The source's reasoning: blocking is a screening decision rather than a confident diagnosis — "a candidate flagged here gets a confirmatory assay; one wrongly cleared here reaches a trial. The asymmetry is the whole point."</w:t>
      </w:r>
    </w:p>
    <w:p>
      <w:pPr>
        <w:pStyle w:val="Heading3"/>
        <w:spacing w:after="100" w:before="200"/>
      </w:pPr>
      <w:r>
        <w:rPr>
          <w:rFonts w:ascii="Calibri" w:cs="Calibri" w:eastAsia="Calibri" w:hAnsi="Calibri"/>
          <w:b/>
          <w:bCs/>
          <w:color w:val="1F4E79"/>
          <w:sz w:val="22"/>
          <w:szCs w:val="22"/>
        </w:rPr>
        <w:t xml:space="preserve">Honesty behaviour</w:t>
      </w:r>
    </w:p>
    <w:p>
      <w:pPr>
        <w:pStyle w:val="ListParagraph"/>
        <w:numPr>
          <w:ilvl w:val="0"/>
          <w:numId w:val="2"/>
        </w:numPr>
        <w:spacing w:after="80" w:line="276"/>
      </w:pPr>
      <w:r>
        <w:rPr>
          <w:rFonts w:ascii="Calibri" w:cs="Calibri" w:eastAsia="Calibri" w:hAnsi="Calibri"/>
          <w:color w:val="1A1A1A"/>
          <w:sz w:val="21"/>
          <w:szCs w:val="21"/>
        </w:rPr>
        <w:t xml:space="preserve">An unscreened antibiotic class is marked as unscreened (displayed as "—"), carries no resistance value at all, and is excluded from the assessed set. It never contributes to a mean or a viability rate, so it can never be scored as if it had passed.</w:t>
      </w:r>
    </w:p>
    <w:p>
      <w:pPr>
        <w:pStyle w:val="ListParagraph"/>
        <w:numPr>
          <w:ilvl w:val="0"/>
          <w:numId w:val="2"/>
        </w:numPr>
        <w:spacing w:after="80" w:line="276"/>
      </w:pPr>
      <w:r>
        <w:rPr>
          <w:rFonts w:ascii="Calibri" w:cs="Calibri" w:eastAsia="Calibri" w:hAnsi="Calibri"/>
          <w:color w:val="1A1A1A"/>
          <w:sz w:val="21"/>
          <w:szCs w:val="21"/>
        </w:rPr>
        <w:t xml:space="preserve">Candidates are ranked by the breadth of organisms they remain viable against, with mean resistance as a tie-break only — because an average would let a candidate that fails catastrophically against one key organism outrank one that is adequate everywhere. Breadth is what a portfolio committee optimises for.</w:t>
      </w:r>
    </w:p>
    <w:p>
      <w:pPr>
        <w:pStyle w:val="ListParagraph"/>
        <w:numPr>
          <w:ilvl w:val="0"/>
          <w:numId w:val="2"/>
        </w:numPr>
        <w:spacing w:after="80" w:line="276"/>
      </w:pPr>
      <w:r>
        <w:rPr>
          <w:rFonts w:ascii="Calibri" w:cs="Calibri" w:eastAsia="Calibri" w:hAnsi="Calibri"/>
          <w:color w:val="1A1A1A"/>
          <w:sz w:val="21"/>
          <w:szCs w:val="21"/>
        </w:rPr>
        <w:t xml:space="preserve">A candidate with nothing assessable is assigned the worst possible tie-break value rather than benefiting from having no data.</w:t>
      </w:r>
    </w:p>
    <w:p>
      <w:pPr>
        <w:pStyle w:val="ListParagraph"/>
        <w:numPr>
          <w:ilvl w:val="0"/>
          <w:numId w:val="2"/>
        </w:numPr>
        <w:spacing w:after="80" w:line="276"/>
      </w:pPr>
      <w:r>
        <w:rPr>
          <w:rFonts w:ascii="Calibri" w:cs="Calibri" w:eastAsia="Calibri" w:hAnsi="Calibri"/>
          <w:color w:val="1A1A1A"/>
          <w:sz w:val="21"/>
          <w:szCs w:val="21"/>
        </w:rPr>
        <w:t xml:space="preserve">The validation cross-check is attached separately from grid construction, so the grid still works where no reference data exists for the selected organisms. As the source puts it, "an unvalidated grid is useful, a crashed one is not".</w:t>
      </w:r>
    </w:p>
    <w:p>
      <w:pPr>
        <w:pStyle w:val="Heading3"/>
        <w:spacing w:after="100" w:before="200"/>
      </w:pPr>
      <w:r>
        <w:rPr>
          <w:rFonts w:ascii="Calibri" w:cs="Calibri" w:eastAsia="Calibri" w:hAnsi="Calibri"/>
          <w:b/>
          <w:bCs/>
          <w:color w:val="1F4E79"/>
          <w:sz w:val="22"/>
          <w:szCs w:val="22"/>
        </w:rPr>
        <w:t xml:space="preserve">Dependencies</w:t>
      </w:r>
    </w:p>
    <w:p>
      <w:pPr>
        <w:pStyle w:val="ListParagraph"/>
        <w:numPr>
          <w:ilvl w:val="0"/>
          <w:numId w:val="2"/>
        </w:numPr>
        <w:spacing w:after="80" w:line="276"/>
      </w:pPr>
      <w:r>
        <w:rPr>
          <w:rFonts w:ascii="Calibri" w:cs="Calibri" w:eastAsia="Calibri" w:hAnsi="Calibri"/>
          <w:color w:val="1A1A1A"/>
          <w:sz w:val="21"/>
          <w:szCs w:val="21"/>
        </w:rPr>
        <w:t xml:space="preserve">Orchestrates the core scan — it produces no predictive data of its own. This is precisely why it required its own validation against real national data (§10.6): without that, its only claim would be that the grid has the right number of cells.</w:t>
      </w:r>
    </w:p>
    <w:p>
      <w:pPr>
        <w:pStyle w:val="ListParagraph"/>
        <w:numPr>
          <w:ilvl w:val="0"/>
          <w:numId w:val="2"/>
        </w:numPr>
        <w:spacing w:after="80" w:line="276"/>
      </w:pPr>
      <w:r>
        <w:rPr>
          <w:rFonts w:ascii="Calibri" w:cs="Calibri" w:eastAsia="Calibri" w:hAnsi="Calibri"/>
          <w:color w:val="1A1A1A"/>
          <w:sz w:val="21"/>
          <w:szCs w:val="21"/>
        </w:rPr>
        <w:t xml:space="preserve">Consumes: candidate drug definitions and their antibiotic classes from Module 1's drug database.</w:t>
      </w:r>
    </w:p>
    <w:p>
      <w:pPr>
        <w:pStyle w:val="Heading2"/>
        <w:spacing w:after="120" w:before="260"/>
      </w:pPr>
      <w:r>
        <w:rPr>
          <w:rFonts w:ascii="Calibri" w:cs="Calibri" w:eastAsia="Calibri" w:hAnsi="Calibri"/>
          <w:b/>
          <w:bCs/>
          <w:color w:val="1A1A1A"/>
          <w:sz w:val="24"/>
          <w:szCs w:val="24"/>
        </w:rPr>
        <w:t xml:space="preserve">8.4 Feature 4 — Dark Genome (open-world detection)</w:t>
      </w:r>
    </w:p>
    <w:p>
      <w:pPr>
        <w:pStyle w:val="Heading3"/>
        <w:spacing w:after="100" w:before="200"/>
      </w:pPr>
      <w:r>
        <w:rPr>
          <w:rFonts w:ascii="Calibri" w:cs="Calibri" w:eastAsia="Calibri" w:hAnsi="Calibri"/>
          <w:b/>
          <w:bCs/>
          <w:color w:val="1F4E79"/>
          <w:sz w:val="22"/>
          <w:szCs w:val="22"/>
        </w:rPr>
        <w:t xml:space="preserve">What it does</w:t>
      </w:r>
    </w:p>
    <w:p>
      <w:pPr>
        <w:spacing w:after="120" w:line="276"/>
      </w:pPr>
      <w:r>
        <w:rPr>
          <w:rFonts w:ascii="Calibri" w:cs="Calibri" w:eastAsia="Calibri" w:hAnsi="Calibri"/>
          <w:color w:val="1A1A1A"/>
          <w:sz w:val="21"/>
          <w:szCs w:val="21"/>
        </w:rPr>
        <w:t xml:space="preserve">Every gene detector, including Layer A of this module, is closed-world: it can only find what is in its reference database, and its silence is therefore indistinguishable from "all clear". Feature 4 adds the open-world half — it looks for segments that behave like acquired DNA but match nothing known.</w:t>
      </w:r>
    </w:p>
    <w:p>
      <w:pPr>
        <w:spacing w:after="120" w:line="276"/>
      </w:pPr>
      <w:r>
        <w:rPr>
          <w:rFonts w:ascii="Calibri" w:cs="Calibri" w:eastAsia="Calibri" w:hAnsi="Calibri"/>
          <w:b/>
          <w:bCs/>
          <w:color w:val="1A1A1A"/>
          <w:sz w:val="21"/>
          <w:szCs w:val="21"/>
        </w:rPr>
        <w:t xml:space="preserve">Its claim is deliberately narrow. </w:t>
      </w:r>
      <w:r>
        <w:rPr>
          <w:rFonts w:ascii="Calibri" w:cs="Calibri" w:eastAsia="Calibri" w:hAnsi="Calibri"/>
          <w:color w:val="1A1A1A"/>
          <w:sz w:val="21"/>
          <w:szCs w:val="21"/>
        </w:rPr>
        <w:t xml:space="preserve">It does not identify the element and does not assert that the element confers resistance. In the source's own words, it says "unexplained acquired sequence is present, go and look".</w:t>
      </w:r>
    </w:p>
    <w:p>
      <w:pPr>
        <w:pStyle w:val="Heading3"/>
        <w:spacing w:after="100" w:before="200"/>
      </w:pPr>
      <w:r>
        <w:rPr>
          <w:rFonts w:ascii="Calibri" w:cs="Calibri" w:eastAsia="Calibri" w:hAnsi="Calibri"/>
          <w:b/>
          <w:bCs/>
          <w:color w:val="1F4E79"/>
          <w:sz w:val="22"/>
          <w:szCs w:val="22"/>
        </w:rPr>
        <w:t xml:space="preserve">Method, and the three corrections measurement forced</w:t>
      </w:r>
    </w:p>
    <w:p>
      <w:pPr>
        <w:pStyle w:val="ListParagraph"/>
        <w:numPr>
          <w:ilvl w:val="0"/>
          <w:numId w:val="2"/>
        </w:numPr>
        <w:spacing w:after="80" w:line="276"/>
      </w:pPr>
      <w:r>
        <w:rPr>
          <w:rFonts w:ascii="Calibri" w:cs="Calibri" w:eastAsia="Calibri" w:hAnsi="Calibri"/>
          <w:color w:val="1A1A1A"/>
          <w:sz w:val="21"/>
          <w:szCs w:val="21"/>
        </w:rPr>
        <w:t xml:space="preserve">Known-gene windows are masked first. A resistance cassette is itself compositionally foreign, so without masking the clean strains scored higher than deliberately spiked ones — the detector was finding the genes it already knew about.</w:t>
      </w:r>
    </w:p>
    <w:p>
      <w:pPr>
        <w:pStyle w:val="ListParagraph"/>
        <w:numPr>
          <w:ilvl w:val="0"/>
          <w:numId w:val="2"/>
        </w:numPr>
        <w:spacing w:after="80" w:line="276"/>
      </w:pPr>
      <w:r>
        <w:rPr>
          <w:rFonts w:ascii="Calibri" w:cs="Calibri" w:eastAsia="Calibri" w:hAnsi="Calibri"/>
          <w:color w:val="1A1A1A"/>
          <w:sz w:val="21"/>
          <w:szCs w:val="21"/>
        </w:rPr>
        <w:t xml:space="preserve">The host background is estimated only from the unexplained windows, using iterative trimming (three passes) around a robust core, so that the very anomalies being hunted do not contaminate the baseline they are measured against.</w:t>
      </w:r>
    </w:p>
    <w:p>
      <w:pPr>
        <w:pStyle w:val="ListParagraph"/>
        <w:numPr>
          <w:ilvl w:val="0"/>
          <w:numId w:val="2"/>
        </w:numPr>
        <w:spacing w:after="80" w:line="276"/>
      </w:pPr>
      <w:r>
        <w:rPr>
          <w:rFonts w:ascii="Calibri" w:cs="Calibri" w:eastAsia="Calibri" w:hAnsi="Calibri"/>
          <w:color w:val="1A1A1A"/>
          <w:sz w:val="21"/>
          <w:szCs w:val="21"/>
        </w:rPr>
        <w:t xml:space="preserve">Detection requires two independent floors — a robust z-score of at least 8.0 and an absolute excess divergence of at least 0.18 — because when few windows remain the median absolute deviation becomes small and inflates the z-score on its own.</w:t>
      </w:r>
    </w:p>
    <w:p>
      <w:pPr>
        <w:spacing w:after="120" w:line="276"/>
      </w:pPr>
      <w:r>
        <w:rPr>
          <w:rFonts w:ascii="Calibri" w:cs="Calibri" w:eastAsia="Calibri" w:hAnsi="Calibri"/>
          <w:color w:val="1A1A1A"/>
          <w:sz w:val="21"/>
          <w:szCs w:val="21"/>
        </w:rPr>
        <w:t xml:space="preserve">Scanning uses 900 bp windows at a 150 bp step, with tetranucleotide (4-mer, 256-bin) composition for the divergence measure because it is far denser per window and much less noisy than 5-mers. The "known" similarity threshold is imported directly from the core module rather than redefined, so the two layers can never disagree about what "known" means.</w:t>
      </w:r>
    </w:p>
    <w:p>
      <w:pPr>
        <w:pStyle w:val="Heading3"/>
        <w:spacing w:after="100" w:before="200"/>
      </w:pPr>
      <w:r>
        <w:rPr>
          <w:rFonts w:ascii="Calibri" w:cs="Calibri" w:eastAsia="Calibri" w:hAnsi="Calibri"/>
          <w:b/>
          <w:bCs/>
          <w:color w:val="1F4E79"/>
          <w:sz w:val="22"/>
          <w:szCs w:val="22"/>
        </w:rPr>
        <w:t xml:space="preserve">Verdicts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Verdict</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Meaning</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CLEAN</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Scan ran; no unexplained segment found; isolate inside the training distribution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UNEXPLAINED SEQUENCE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One or more segments diverge from host composition and match no reference above 0.83</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CAUTION</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Unexplained segments with a borderline distribution warning, or a borderline warning alone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UNRELIABLE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isolate is outside the model's training distribution — "do not act on Module 3 numbers for this isolate alone"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NOT ASSESSED</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scan could not run (sequence too short, or too much of it already explained by known determinants)</w:t>
            </w:r>
          </w:p>
        </w:tc>
      </w:tr>
    </w:tbl>
    <w:p>
      <w:pPr>
        <w:spacing w:after="120" w:line="276"/>
      </w:pPr>
      <w:r>
        <w:rPr>
          <w:rFonts w:ascii="Calibri" w:cs="Calibri" w:eastAsia="Calibri" w:hAnsi="Calibri"/>
          <w:color w:val="1A1A1A"/>
          <w:sz w:val="21"/>
          <w:szCs w:val="21"/>
        </w:rPr>
        <w:t xml:space="preserve">The NOT ASSESSED state is the point of the feature's design. The source states the principle directly: "an unrun check must never be presented as a passed one".</w:t>
      </w:r>
    </w:p>
    <w:p>
      <w:pPr>
        <w:pStyle w:val="Heading3"/>
        <w:spacing w:after="100" w:before="200"/>
      </w:pPr>
      <w:r>
        <w:rPr>
          <w:rFonts w:ascii="Calibri" w:cs="Calibri" w:eastAsia="Calibri" w:hAnsi="Calibri"/>
          <w:b/>
          <w:bCs/>
          <w:color w:val="1F4E79"/>
          <w:sz w:val="22"/>
          <w:szCs w:val="22"/>
        </w:rPr>
        <w:t xml:space="preserve">The out-of-distribution badge</w:t>
      </w:r>
    </w:p>
    <w:p>
      <w:pPr>
        <w:spacing w:after="120" w:line="276"/>
      </w:pPr>
      <w:r>
        <w:rPr>
          <w:rFonts w:ascii="Calibri" w:cs="Calibri" w:eastAsia="Calibri" w:hAnsi="Calibri"/>
          <w:color w:val="1A1A1A"/>
          <w:sz w:val="21"/>
          <w:szCs w:val="21"/>
        </w:rPr>
        <w:t xml:space="preserve">Alongside the scan, the module places each isolate on the distribution of distances seen during training. The trained model stores its training centroid and 101 quantiles of the training distance distribution; an isolate above the 99th percentile is flagged OUT OF DISTRIBUTION, above the 90th BORDERLINE. If a cached model predates this feature the badge reports itself unavailable rather than fabricating a score. The displayed caveat notes that published work finds genomic AMR models generalise poorly beyond their training clades, so the probabilities should be treated as a prompt to sequence further rather than as a result.</w:t>
      </w:r>
    </w:p>
    <w:p>
      <w:pPr>
        <w:pStyle w:val="Heading3"/>
        <w:spacing w:after="100" w:before="200"/>
      </w:pPr>
      <w:r>
        <w:rPr>
          <w:rFonts w:ascii="Calibri" w:cs="Calibri" w:eastAsia="Calibri" w:hAnsi="Calibri"/>
          <w:b/>
          <w:bCs/>
          <w:color w:val="1F4E79"/>
          <w:sz w:val="22"/>
          <w:szCs w:val="22"/>
        </w:rPr>
        <w:t xml:space="preserve">Dependencies</w:t>
      </w:r>
    </w:p>
    <w:p>
      <w:pPr>
        <w:pStyle w:val="ListParagraph"/>
        <w:numPr>
          <w:ilvl w:val="0"/>
          <w:numId w:val="2"/>
        </w:numPr>
        <w:spacing w:after="80" w:line="276"/>
      </w:pPr>
      <w:r>
        <w:rPr>
          <w:rFonts w:ascii="Calibri" w:cs="Calibri" w:eastAsia="Calibri" w:hAnsi="Calibri"/>
          <w:color w:val="1A1A1A"/>
          <w:sz w:val="21"/>
          <w:szCs w:val="21"/>
        </w:rPr>
        <w:t xml:space="preserve">Consumes: gene positions from Layer A (for masking) and the trained model's stored training statistics (for the badge).</w:t>
      </w:r>
    </w:p>
    <w:p>
      <w:pPr>
        <w:pStyle w:val="ListParagraph"/>
        <w:numPr>
          <w:ilvl w:val="0"/>
          <w:numId w:val="2"/>
        </w:numPr>
        <w:spacing w:after="80" w:line="276"/>
      </w:pPr>
      <w:r>
        <w:rPr>
          <w:rFonts w:ascii="Calibri" w:cs="Calibri" w:eastAsia="Calibri" w:hAnsi="Calibri"/>
          <w:color w:val="1A1A1A"/>
          <w:sz w:val="21"/>
          <w:szCs w:val="21"/>
        </w:rPr>
        <w:t xml:space="preserve">Feeds: nothing automatically. Its verdict can suppress confidence in the whole module's output for a given isolate, which is by design.</w:t>
      </w:r>
    </w:p>
    <w:p>
      <w:pPr>
        <w:pStyle w:val="Heading2"/>
        <w:spacing w:after="120" w:before="260"/>
      </w:pPr>
      <w:r>
        <w:rPr>
          <w:rFonts w:ascii="Calibri" w:cs="Calibri" w:eastAsia="Calibri" w:hAnsi="Calibri"/>
          <w:b/>
          <w:bCs/>
          <w:color w:val="1A1A1A"/>
          <w:sz w:val="24"/>
          <w:szCs w:val="24"/>
        </w:rPr>
        <w:t xml:space="preserve">8.5 Feature 5 — Value of Early Detection</w:t>
      </w:r>
    </w:p>
    <w:p>
      <w:pPr>
        <w:pStyle w:val="Heading3"/>
        <w:spacing w:after="100" w:before="200"/>
      </w:pPr>
      <w:r>
        <w:rPr>
          <w:rFonts w:ascii="Calibri" w:cs="Calibri" w:eastAsia="Calibri" w:hAnsi="Calibri"/>
          <w:b/>
          <w:bCs/>
          <w:color w:val="1F4E79"/>
          <w:sz w:val="22"/>
          <w:szCs w:val="22"/>
        </w:rPr>
        <w:t xml:space="preserve">What it does</w:t>
      </w:r>
    </w:p>
    <w:p>
      <w:pPr>
        <w:spacing w:after="120" w:line="276"/>
      </w:pPr>
      <w:r>
        <w:rPr>
          <w:rFonts w:ascii="Calibri" w:cs="Calibri" w:eastAsia="Calibri" w:hAnsi="Calibri"/>
          <w:color w:val="1A1A1A"/>
          <w:sz w:val="21"/>
          <w:szCs w:val="21"/>
        </w:rPr>
        <w:t xml:space="preserve">Translates a resistance finding into the two units a funding committee uses: money and years. It compares the cost of discovering the problem now, at screening, against discovering it at the phase where efficacy against the target organism is first seriously tested.</w:t>
      </w:r>
    </w:p>
    <w:p>
      <w:pPr>
        <w:pStyle w:val="Heading3"/>
        <w:spacing w:after="100" w:before="200"/>
      </w:pPr>
      <w:r>
        <w:rPr>
          <w:rFonts w:ascii="Calibri" w:cs="Calibri" w:eastAsia="Calibri" w:hAnsi="Calibri"/>
          <w:b/>
          <w:bCs/>
          <w:color w:val="1F4E79"/>
          <w:sz w:val="22"/>
          <w:szCs w:val="22"/>
        </w:rPr>
        <w:t xml:space="preserve">Model and assumptions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2000"/>
        <w:gridCol w:w="4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Phase</w:t>
            </w:r>
          </w:p>
        </w:tc>
        <w:tc>
          <w:tcPr>
            <w:tcW w:type="dxa" w:w="20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Default cost</w:t>
            </w:r>
          </w:p>
        </w:tc>
        <w:tc>
          <w:tcPr>
            <w:tcW w:type="dxa" w:w="4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Probability of clearing it, and duration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Preclinical</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₹15 crore</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0.70 — 1.5 years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Phase I</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₹25 crore</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0.65 — 1.5 years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Phase II (default discovery point)</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₹60 crore</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0.45 — 2.5 years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Phase III</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₹250 crore</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0.60 — 3.0 years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This screening step</w:t>
            </w:r>
          </w:p>
        </w:tc>
        <w:tc>
          <w:tcPr>
            <w:tcW w:type="dxa" w:w="2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₹0.02 crore</w:t>
            </w:r>
          </w:p>
        </w:tc>
        <w:tc>
          <w:tcPr>
            <w:tcW w:type="dxa" w:w="4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Effectively a laptop and an afternoon — kept as an explicit non-zero line so the comparison is fair</w:t>
            </w:r>
          </w:p>
        </w:tc>
      </w:tr>
    </w:tbl>
    <w:p>
      <w:pPr>
        <w:spacing w:after="120" w:line="276"/>
      </w:pPr>
      <w:r>
        <w:rPr>
          <w:rFonts w:ascii="Calibri" w:cs="Calibri" w:eastAsia="Calibri" w:hAnsi="Calibri"/>
          <w:color w:val="1A1A1A"/>
          <w:sz w:val="21"/>
          <w:szCs w:val="21"/>
        </w:rPr>
        <w:t xml:space="preserve">Phase II is the default discovery point because efficacy against the target organism is not seriously tested until patients with that infection are enrolled. The framework is the standard health-economics expected value of sample information: the avoided cost is weighted by the probability of actually reaching that phase (0.70 × 0.65 = 0.455 by default), which is what stops the output being a headline number that assumes every flagged programme would otherwise have marched all the way to Phase III.</w:t>
      </w:r>
    </w:p>
    <w:p>
      <w:pPr>
        <w:pStyle w:val="Heading3"/>
        <w:spacing w:after="100" w:before="200"/>
      </w:pPr>
      <w:r>
        <w:rPr>
          <w:rFonts w:ascii="Calibri" w:cs="Calibri" w:eastAsia="Calibri" w:hAnsi="Calibri"/>
          <w:b/>
          <w:bCs/>
          <w:color w:val="1F4E79"/>
          <w:sz w:val="22"/>
          <w:szCs w:val="22"/>
        </w:rPr>
        <w:t xml:space="preserve">Worked example</w:t>
      </w:r>
    </w:p>
    <w:p>
      <w:pPr>
        <w:shd w:fill="F2F4F7" w:val="clear"/>
        <w:spacing w:after="140" w:before="100"/>
        <w:ind w:left="200" w:right="200"/>
      </w:pPr>
      <w:r>
        <w:rPr>
          <w:rFonts w:ascii="Consolas" w:cs="Consolas" w:eastAsia="Consolas" w:hAnsi="Consolas"/>
          <w:color w:val="1A1A1A"/>
          <w:sz w:val="19"/>
          <w:szCs w:val="19"/>
        </w:rPr>
        <w:t xml:space="preserve">Candidate flagged against K. pneumoniae at 89% predicted resistance</w:t>
      </w:r>
    </w:p>
    <w:p>
      <w:pPr>
        <w:shd w:fill="F2F4F7" w:val="clear"/>
        <w:spacing w:after="140" w:before="100"/>
        <w:ind w:left="200" w:right="200"/>
      </w:pPr>
      <w:r>
        <w:rPr>
          <w:rFonts w:ascii="Consolas" w:cs="Consolas" w:eastAsia="Consolas" w:hAnsi="Consolas"/>
          <w:color w:val="1A1A1A"/>
          <w:sz w:val="19"/>
          <w:szCs w:val="19"/>
        </w:rPr>
        <w:t xml:space="preserve">  cost avoided if discovered now rather than at Phase II : ~Rs 100 crore, 5.5 years</w:t>
      </w:r>
    </w:p>
    <w:p>
      <w:pPr>
        <w:shd w:fill="F2F4F7" w:val="clear"/>
        <w:spacing w:after="140" w:before="100"/>
        <w:ind w:left="200" w:right="200"/>
      </w:pPr>
      <w:r>
        <w:rPr>
          <w:rFonts w:ascii="Consolas" w:cs="Consolas" w:eastAsia="Consolas" w:hAnsi="Consolas"/>
          <w:color w:val="1A1A1A"/>
          <w:sz w:val="19"/>
          <w:szCs w:val="19"/>
        </w:rPr>
        <w:t xml:space="preserve">  probability of having reached Phase II                 : 0.455</w:t>
      </w:r>
    </w:p>
    <w:p>
      <w:pPr>
        <w:shd w:fill="F2F4F7" w:val="clear"/>
        <w:spacing w:after="140" w:before="100"/>
        <w:ind w:left="200" w:right="200"/>
      </w:pPr>
      <w:r>
        <w:rPr>
          <w:rFonts w:ascii="Consolas" w:cs="Consolas" w:eastAsia="Consolas" w:hAnsi="Consolas"/>
          <w:color w:val="1A1A1A"/>
          <w:sz w:val="19"/>
          <w:szCs w:val="19"/>
        </w:rPr>
        <w:t xml:space="preserve">  probability-weighted expected value                   : Rs 45.5 crore</w:t>
      </w:r>
    </w:p>
    <w:p>
      <w:pPr>
        <w:shd w:fill="F2F4F7" w:val="clear"/>
        <w:spacing w:after="140" w:before="100"/>
        <w:ind w:left="200" w:right="200"/>
      </w:pPr>
      <w:r>
        <w:rPr>
          <w:rFonts w:ascii="Consolas" w:cs="Consolas" w:eastAsia="Consolas" w:hAnsi="Consolas"/>
          <w:color w:val="1A1A1A"/>
          <w:sz w:val="19"/>
          <w:szCs w:val="19"/>
        </w:rPr>
        <w:t xml:space="preserve">  verdict: MODERATE VALUE</w:t>
      </w:r>
    </w:p>
    <w:p>
      <w:pPr>
        <w:pStyle w:val="Heading3"/>
        <w:spacing w:after="100" w:before="200"/>
      </w:pPr>
      <w:r>
        <w:rPr>
          <w:rFonts w:ascii="Calibri" w:cs="Calibri" w:eastAsia="Calibri" w:hAnsi="Calibri"/>
          <w:b/>
          <w:bCs/>
          <w:color w:val="1F4E79"/>
          <w:sz w:val="22"/>
          <w:szCs w:val="22"/>
        </w:rPr>
        <w:t xml:space="preserve">What this feature explicitly refuses to claim</w:t>
      </w:r>
    </w:p>
    <w:p>
      <w:pPr>
        <w:spacing w:after="120" w:line="276"/>
      </w:pPr>
      <w:r>
        <w:rPr>
          <w:rFonts w:ascii="Calibri" w:cs="Calibri" w:eastAsia="Calibri" w:hAnsi="Calibri"/>
          <w:color w:val="1A1A1A"/>
          <w:sz w:val="21"/>
          <w:szCs w:val="21"/>
        </w:rPr>
        <w:t xml:space="preserve">This is the module's most easily over-sold output, and the source constrains it tightly. Quoting the file directly: it is "NOT a claim that TrialSense has saved anyone money. Nobody has run a drug programme through this tool for ten years, and pretending otherwise would be the fastest way to lose a technical audience." The narrow claim retained is that running the check costs effectively nothing, while not running it costs at minimum one failed development phase.</w:t>
      </w:r>
    </w:p>
    <w:p>
      <w:pPr>
        <w:pStyle w:val="ListParagraph"/>
        <w:numPr>
          <w:ilvl w:val="0"/>
          <w:numId w:val="2"/>
        </w:numPr>
        <w:spacing w:after="80" w:line="276"/>
      </w:pPr>
      <w:r>
        <w:rPr>
          <w:rFonts w:ascii="Calibri" w:cs="Calibri" w:eastAsia="Calibri" w:hAnsi="Calibri"/>
          <w:color w:val="1A1A1A"/>
          <w:sz w:val="21"/>
          <w:szCs w:val="21"/>
        </w:rPr>
        <w:t xml:space="preserve">A clean screen returns a verdict of CONFIRMATORY and a rupee value of exactly zero. The source states that "the value of a negative screen is confirmation, not savings. Quoting a rupee figure here would be dishonest, so we do not."</w:t>
      </w:r>
    </w:p>
    <w:p>
      <w:pPr>
        <w:pStyle w:val="ListParagraph"/>
        <w:numPr>
          <w:ilvl w:val="0"/>
          <w:numId w:val="2"/>
        </w:numPr>
        <w:spacing w:after="80" w:line="276"/>
      </w:pPr>
      <w:r>
        <w:rPr>
          <w:rFonts w:ascii="Calibri" w:cs="Calibri" w:eastAsia="Calibri" w:hAnsi="Calibri"/>
          <w:color w:val="1A1A1A"/>
          <w:sz w:val="21"/>
          <w:szCs w:val="21"/>
        </w:rPr>
        <w:t xml:space="preserve">Every cost, probability and duration is an adjustable input seeded with an order-of-magnitude default, displayed on the same screen as the result. No single published study is cited for these defaults, and the report says so — see §11.3.</w:t>
      </w:r>
    </w:p>
    <w:p>
      <w:pPr>
        <w:pStyle w:val="ListParagraph"/>
        <w:numPr>
          <w:ilvl w:val="0"/>
          <w:numId w:val="2"/>
        </w:numPr>
        <w:spacing w:after="80" w:line="276"/>
      </w:pPr>
      <w:r>
        <w:rPr>
          <w:rFonts w:ascii="Calibri" w:cs="Calibri" w:eastAsia="Calibri" w:hAnsi="Calibri"/>
          <w:color w:val="1A1A1A"/>
          <w:sz w:val="21"/>
          <w:szCs w:val="21"/>
        </w:rPr>
        <w:t xml:space="preserve">The arithmetic is deliberately simple enough for a reviewer to check by hand on screen.</w:t>
      </w:r>
    </w:p>
    <w:p>
      <w:pPr>
        <w:pStyle w:val="Heading2"/>
        <w:spacing w:after="120" w:before="260"/>
      </w:pPr>
      <w:r>
        <w:rPr>
          <w:rFonts w:ascii="Calibri" w:cs="Calibri" w:eastAsia="Calibri" w:hAnsi="Calibri"/>
          <w:b/>
          <w:bCs/>
          <w:color w:val="1A1A1A"/>
          <w:sz w:val="24"/>
          <w:szCs w:val="24"/>
        </w:rPr>
        <w:t xml:space="preserve">8.6 Feature 6 — Spread Velocity</w:t>
      </w:r>
    </w:p>
    <w:p>
      <w:pPr>
        <w:pStyle w:val="Heading3"/>
        <w:spacing w:after="100" w:before="200"/>
      </w:pPr>
      <w:r>
        <w:rPr>
          <w:rFonts w:ascii="Calibri" w:cs="Calibri" w:eastAsia="Calibri" w:hAnsi="Calibri"/>
          <w:b/>
          <w:bCs/>
          <w:color w:val="1F4E79"/>
          <w:sz w:val="22"/>
          <w:szCs w:val="22"/>
        </w:rPr>
        <w:t xml:space="preserve">What it does</w:t>
      </w:r>
    </w:p>
    <w:p>
      <w:pPr>
        <w:spacing w:after="120" w:line="276"/>
      </w:pPr>
      <w:r>
        <w:rPr>
          <w:rFonts w:ascii="Calibri" w:cs="Calibri" w:eastAsia="Calibri" w:hAnsi="Calibri"/>
          <w:color w:val="1A1A1A"/>
          <w:sz w:val="21"/>
          <w:szCs w:val="21"/>
        </w:rPr>
        <w:t xml:space="preserve">Reports how a determinant travels, because resistance that moves horizontally between species behaves entirely differently from resistance that only passes from a parent cell to its daughters. Each determinant is annotated as plasmid-borne, integron-borne, transposon-borne, SCCmec-borne or chromosomal.</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1800"/>
        <w:gridCol w:w="46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Mobility</w:t>
            </w:r>
          </w:p>
        </w:tc>
        <w:tc>
          <w:tcPr>
            <w:tcW w:type="dxa" w:w="18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Multiplier</w:t>
            </w:r>
          </w:p>
        </w:tc>
        <w:tc>
          <w:tcPr>
            <w:tcW w:type="dxa" w:w="4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Interpretation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Plasmid</w:t>
            </w:r>
          </w:p>
        </w:tc>
        <w:tc>
          <w:tcPr>
            <w:tcW w:type="dxa" w:w="18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2.5</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Transfers freely between cells and across species — mcr-1 went from first description in 2015 to global reports within roughly eighteen months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Integron</w:t>
            </w:r>
          </w:p>
        </w:tc>
        <w:tc>
          <w:tcPr>
            <w:tcW w:type="dxa" w:w="18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2.0</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Mobile gene-capture platform; often carries several determinants together</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Transposon</w:t>
            </w:r>
          </w:p>
        </w:tc>
        <w:tc>
          <w:tcPr>
            <w:tcW w:type="dxa" w:w="18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1.8</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Moves within and between genomes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SCCmec</w:t>
            </w:r>
          </w:p>
        </w:tc>
        <w:tc>
          <w:tcPr>
            <w:tcW w:type="dxa" w:w="18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1.3</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Mobile element, but largely confined to staphylococci</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Chromosomal</w:t>
            </w:r>
          </w:p>
        </w:tc>
        <w:tc>
          <w:tcPr>
            <w:tcW w:type="dxa" w:w="18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1.0</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Vertical inheritance only — point mutations such as gyrA_S83L and rpoB_S450L</w:t>
            </w:r>
          </w:p>
        </w:tc>
      </w:tr>
    </w:tbl>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Verdict</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Trigger</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HIGHLY MOBILE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Multiplier ≥ 2.5 — a plasmid-borne determinant</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MOBILE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Multiplier ≥ 1.8 — integron or transposon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SLOW</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Multiplier above 1.0 — SCCmec</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STATIC</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Chromosomal only — vertical inheritance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NONE DETECTED</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determinant found</w:t>
            </w:r>
          </w:p>
        </w:tc>
      </w:tr>
    </w:tbl>
    <w:p>
      <w:pPr>
        <w:pStyle w:val="ListParagraph"/>
        <w:numPr>
          <w:ilvl w:val="0"/>
          <w:numId w:val="2"/>
        </w:numPr>
        <w:spacing w:after="80" w:line="276"/>
      </w:pPr>
      <w:r>
        <w:rPr>
          <w:rFonts w:ascii="Calibri" w:cs="Calibri" w:eastAsia="Calibri" w:hAnsi="Calibri"/>
          <w:color w:val="1A1A1A"/>
          <w:sz w:val="21"/>
          <w:szCs w:val="21"/>
        </w:rPr>
        <w:t xml:space="preserve">The fastest determinant governs the verdict, using the maximum rather than the mean: an isolate carrying one plasmid gene and four chromosomal ones still spreads that plasmid gene at plasmid speed.</w:t>
      </w:r>
    </w:p>
    <w:p>
      <w:pPr>
        <w:pStyle w:val="ListParagraph"/>
        <w:numPr>
          <w:ilvl w:val="0"/>
          <w:numId w:val="2"/>
        </w:numPr>
        <w:spacing w:after="80" w:line="276"/>
      </w:pPr>
      <w:r>
        <w:rPr>
          <w:rFonts w:ascii="Calibri" w:cs="Calibri" w:eastAsia="Calibri" w:hAnsi="Calibri"/>
          <w:color w:val="1A1A1A"/>
          <w:sz w:val="21"/>
          <w:szCs w:val="21"/>
        </w:rPr>
        <w:t xml:space="preserve">Mobility assignment across the 21 determinants: 9 plasmid-borne (including blaNDM-1, blaKPC-2, mcr-1, cfr), 5 integron-borne (including blaVIM, blaIMP, sul1), 4 transposon-borne (vanA on Tn1546, ermB, tetM, armA), 1 SCCmec (mecA) and 2 chromosomal (gyrA_S83L, rpoB_S450L).</w:t>
      </w:r>
    </w:p>
    <w:p>
      <w:pPr>
        <w:pStyle w:val="ListParagraph"/>
        <w:numPr>
          <w:ilvl w:val="0"/>
          <w:numId w:val="2"/>
        </w:numPr>
        <w:spacing w:after="80" w:line="276"/>
      </w:pPr>
      <w:r>
        <w:rPr>
          <w:rFonts w:ascii="Calibri" w:cs="Calibri" w:eastAsia="Calibri" w:hAnsi="Calibri"/>
          <w:color w:val="1A1A1A"/>
          <w:sz w:val="21"/>
          <w:szCs w:val="21"/>
        </w:rPr>
        <w:t xml:space="preserve">The multiplier feeds back into Feature 1, shortening the projected runway for mobile determinants.</w:t>
      </w:r>
    </w:p>
    <w:p>
      <w:pPr>
        <w:spacing w:after="120" w:line="276"/>
      </w:pPr>
      <w:r>
        <w:rPr>
          <w:rFonts w:ascii="Calibri" w:cs="Calibri" w:eastAsia="Calibri" w:hAnsi="Calibri"/>
          <w:b/>
          <w:bCs/>
          <w:color w:val="1A1A1A"/>
          <w:sz w:val="21"/>
          <w:szCs w:val="21"/>
        </w:rPr>
        <w:t xml:space="preserve">Declared limitation: </w:t>
      </w:r>
      <w:r>
        <w:rPr>
          <w:rFonts w:ascii="Calibri" w:cs="Calibri" w:eastAsia="Calibri" w:hAnsi="Calibri"/>
          <w:color w:val="1A1A1A"/>
          <w:sz w:val="21"/>
          <w:szCs w:val="21"/>
        </w:rPr>
        <w:t xml:space="preserve">these multipliers are reasoned orders of magnitude, not constants fitted to epidemiological data. Both the source and the UI state this. A reviewer should treat the ordering as defensible and the absolute values as assumptions.</w:t>
      </w:r>
    </w:p>
    <w:p>
      <w:pPr>
        <w:spacing w:after="120" w:line="276"/>
      </w:pPr>
      <w:r>
        <w:rPr>
          <w:rFonts w:ascii="Calibri" w:cs="Calibri" w:eastAsia="Calibri" w:hAnsi="Calibri"/>
          <w:color w:val="1A1A1A"/>
          <w:sz w:val="21"/>
          <w:szCs w:val="21"/>
        </w:rPr>
        <w:t xml:space="preserve">Live output: blaNDM-1 returns HIGHLY MOBILE with a 2.5× multiplier; the chromosomal rpoB_S450L returns STATIC at 1.0×.</w:t>
      </w:r>
    </w:p>
    <w:p>
      <w:pPr>
        <w:pStyle w:val="Heading2"/>
        <w:spacing w:after="120" w:before="260"/>
      </w:pPr>
      <w:r>
        <w:rPr>
          <w:rFonts w:ascii="Calibri" w:cs="Calibri" w:eastAsia="Calibri" w:hAnsi="Calibri"/>
          <w:b/>
          <w:bCs/>
          <w:color w:val="1A1A1A"/>
          <w:sz w:val="24"/>
          <w:szCs w:val="24"/>
        </w:rPr>
        <w:t xml:space="preserve">8.7 Supporting analyses</w:t>
      </w:r>
    </w:p>
    <w:p>
      <w:pPr>
        <w:pStyle w:val="Heading3"/>
        <w:spacing w:after="100" w:before="200"/>
      </w:pPr>
      <w:r>
        <w:rPr>
          <w:rFonts w:ascii="Calibri" w:cs="Calibri" w:eastAsia="Calibri" w:hAnsi="Calibri"/>
          <w:b/>
          <w:bCs/>
          <w:color w:val="1F4E79"/>
          <w:sz w:val="22"/>
          <w:szCs w:val="22"/>
        </w:rPr>
        <w:t xml:space="preserve">Per-drug resolution within a class</w:t>
      </w:r>
    </w:p>
    <w:p>
      <w:pPr>
        <w:spacing w:after="120" w:line="276"/>
      </w:pPr>
      <w:r>
        <w:rPr>
          <w:rFonts w:ascii="Calibri" w:cs="Calibri" w:eastAsia="Calibri" w:hAnsi="Calibri"/>
          <w:color w:val="1A1A1A"/>
          <w:sz w:val="21"/>
          <w:szCs w:val="21"/>
        </w:rPr>
        <w:t xml:space="preserve">Class-level reporting is sometimes too coarse to be actionable, and the aminoglycosides are the clearest case:</w:t>
      </w:r>
    </w:p>
    <w:p>
      <w:pPr>
        <w:shd w:fill="F2F4F7" w:val="clear"/>
        <w:spacing w:after="140" w:before="100"/>
        <w:ind w:left="200" w:right="200"/>
      </w:pPr>
      <w:r>
        <w:rPr>
          <w:rFonts w:ascii="Consolas" w:cs="Consolas" w:eastAsia="Consolas" w:hAnsi="Consolas"/>
          <w:color w:val="1A1A1A"/>
          <w:sz w:val="19"/>
          <w:szCs w:val="19"/>
        </w:rPr>
        <w:t xml:space="preserve">aac(6')-Ib   amikacin, kanamycin, tobramycin      gentamicin SPARED</w:t>
      </w:r>
    </w:p>
    <w:p>
      <w:pPr>
        <w:shd w:fill="F2F4F7" w:val="clear"/>
        <w:spacing w:after="140" w:before="100"/>
        <w:ind w:left="200" w:right="200"/>
      </w:pPr>
      <w:r>
        <w:rPr>
          <w:rFonts w:ascii="Consolas" w:cs="Consolas" w:eastAsia="Consolas" w:hAnsi="Consolas"/>
          <w:color w:val="1A1A1A"/>
          <w:sz w:val="19"/>
          <w:szCs w:val="19"/>
        </w:rPr>
        <w:t xml:space="preserve">armA         essentially the entire class         gentamicin included</w:t>
      </w:r>
    </w:p>
    <w:p>
      <w:pPr>
        <w:spacing w:after="120" w:line="276"/>
      </w:pPr>
      <w:r>
        <w:rPr>
          <w:rFonts w:ascii="Calibri" w:cs="Calibri" w:eastAsia="Calibri" w:hAnsi="Calibri"/>
          <w:color w:val="1A1A1A"/>
          <w:sz w:val="21"/>
          <w:szCs w:val="21"/>
        </w:rPr>
        <w:t xml:space="preserve">Both produce an identical "aminoglycoside resistant" class call. But aac(6')-Ib is an acetyltransferase that does not modify gentamicin, and plazomicin is stable to it; armA methylates 16S rRNA at G1405 and blocks essentially the whole group, plazomicin included. Reporting only the class overstates the damage and, worse, hides the agent that still works. This gap was surfaced by the module's own ICMR cross-check, which showed real Indian amikacin resistance running far below what the class-level mapping implied.</w:t>
      </w:r>
    </w:p>
    <w:p>
      <w:pPr>
        <w:spacing w:after="120" w:line="276"/>
      </w:pPr>
      <w:r>
        <w:rPr>
          <w:rFonts w:ascii="Calibri" w:cs="Calibri" w:eastAsia="Calibri" w:hAnsi="Calibri"/>
          <w:color w:val="1A1A1A"/>
          <w:sz w:val="21"/>
          <w:szCs w:val="21"/>
        </w:rPr>
        <w:t xml:space="preserve">Data sources: the CARD ontology's resistance relations (card.mcmaster.ca) and NCBI AMRFinderPlus's reference gene catalogue subclass field, database release 2026-08-07.1. Every row carries its source relation and a resolvable URL, covering 12 classes and 35 named clinical agents.</w:t>
      </w:r>
    </w:p>
    <w:p>
      <w:pPr>
        <w:pStyle w:val="Heading3"/>
        <w:spacing w:after="100" w:before="200"/>
      </w:pPr>
      <w:r>
        <w:rPr>
          <w:rFonts w:ascii="Calibri" w:cs="Calibri" w:eastAsia="Calibri" w:hAnsi="Calibri"/>
          <w:b/>
          <w:bCs/>
          <w:color w:val="1F4E79"/>
          <w:sz w:val="22"/>
          <w:szCs w:val="22"/>
        </w:rPr>
        <w:t xml:space="preserve">Database disagreement is surfaced, not silently resolved</w:t>
      </w:r>
    </w:p>
    <w:p>
      <w:pPr>
        <w:spacing w:after="120" w:line="276"/>
      </w:pPr>
      <w:r>
        <w:rPr>
          <w:rFonts w:ascii="Calibri" w:cs="Calibri" w:eastAsia="Calibri" w:hAnsi="Calibri"/>
          <w:color w:val="1A1A1A"/>
          <w:sz w:val="21"/>
          <w:szCs w:val="21"/>
        </w:rPr>
        <w:t xml:space="preserve">Where CARD and NCBI conflict, both are retained and the conflict is reported. Two such conflicts are currently recorded:</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1500"/>
        <w:gridCol w:w="7520"/>
      </w:tblGrid>
      <w:tr>
        <w:trPr>
          <w:tblHeader/>
        </w:trPr>
        <w:tc>
          <w:tcPr>
            <w:tcW w:type="dxa" w:w="15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Gene</w:t>
            </w:r>
          </w:p>
        </w:tc>
        <w:tc>
          <w:tcPr>
            <w:tcW w:type="dxa" w:w="75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Recorded disagreement and the position taken</w:t>
            </w:r>
          </w:p>
        </w:tc>
      </w:tr>
      <w:tr>
        <w:trPr>
          <w:tblHeader w:val="false"/>
        </w:trPr>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armA</w:t>
            </w:r>
          </w:p>
        </w:tc>
        <w:tc>
          <w:tcPr>
            <w:tcW w:type="dxa" w:w="7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CARD lists eleven aminoglycosides including gentamicin; NCBI's subclass field lists gentamicin alone. The module follows CARD, on the biological grounds that armA methylates 16S rRNA at G1405 and therefore blocks essentially the whole 4,6-disubstituted deoxystreptamine group, and treats NCBI's single-drug entry as an under-call</w:t>
            </w:r>
          </w:p>
        </w:tc>
      </w:tr>
      <w:tr>
        <w:trPr>
          <w:tblHeader w:val="false"/>
        </w:trPr>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cfr</w:t>
            </w:r>
          </w:p>
        </w:tc>
        <w:tc>
          <w:tcPr>
            <w:tcW w:type="dxa" w:w="7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CARD links linezolid only at class level; NCBI names it explicitly. The module follows NCBI, since linezolid resistance is the clinically defining property of cfr</w:t>
            </w:r>
          </w:p>
        </w:tc>
      </w:tr>
    </w:tbl>
    <w:p>
      <w:pPr>
        <w:pStyle w:val="Heading3"/>
        <w:spacing w:after="100" w:before="200"/>
      </w:pPr>
      <w:r>
        <w:rPr>
          <w:rFonts w:ascii="Calibri" w:cs="Calibri" w:eastAsia="Calibri" w:hAnsi="Calibri"/>
          <w:b/>
          <w:bCs/>
          <w:color w:val="1F4E79"/>
          <w:sz w:val="22"/>
          <w:szCs w:val="22"/>
        </w:rPr>
        <w:t xml:space="preserve">The guard that matters most: absence is never evidence</w:t>
      </w:r>
    </w:p>
    <w:p>
      <w:pPr>
        <w:spacing w:after="120" w:line="276"/>
      </w:pPr>
      <w:r>
        <w:rPr>
          <w:rFonts w:ascii="Calibri" w:cs="Calibri" w:eastAsia="Calibri" w:hAnsi="Calibri"/>
          <w:b/>
          <w:bCs/>
          <w:color w:val="1A1A1A"/>
          <w:sz w:val="21"/>
          <w:szCs w:val="21"/>
        </w:rPr>
        <w:t xml:space="preserve">A curated database tells you what is known, never what is false. </w:t>
      </w:r>
      <w:r>
        <w:rPr>
          <w:rFonts w:ascii="Calibri" w:cs="Calibri" w:eastAsia="Calibri" w:hAnsi="Calibri"/>
          <w:color w:val="1A1A1A"/>
          <w:sz w:val="21"/>
          <w:szCs w:val="21"/>
        </w:rPr>
        <w:t xml:space="preserve">Three agents — plazomicin, tedizolid and ceftaroline — are explicitly marked as poorly curated, and absence from a gene's drug list carries no information for them. The source records exactly why this guard exists: CARD lists eleven aminoglycosides for armA and omits plazomicin, and only one gene in the whole of CARD is linked to plazomicin at all. Inferring activity from that absence would have produced the confident and flatly wrong claim that "armA spares plazomicin", when 16S rRNA methyltransferases defeat plazomicin — a fact stated on the drug's own label.</w:t>
      </w:r>
    </w:p>
    <w:p>
      <w:pPr>
        <w:pStyle w:val="ListParagraph"/>
        <w:numPr>
          <w:ilvl w:val="0"/>
          <w:numId w:val="2"/>
        </w:numPr>
        <w:spacing w:after="80" w:line="276"/>
      </w:pPr>
      <w:r>
        <w:rPr>
          <w:rFonts w:ascii="Calibri" w:cs="Calibri" w:eastAsia="Calibri" w:hAnsi="Calibri"/>
          <w:color w:val="1A1A1A"/>
          <w:sz w:val="21"/>
          <w:szCs w:val="21"/>
        </w:rPr>
        <w:t xml:space="preserve">Next-generation escapes (plazomicin against aac(6')-Ib, tigecycline against tetM, ceftaroline against mecA, tedizolid against cfr) are taken from drug labels, not inferred from database absence.</w:t>
      </w:r>
    </w:p>
    <w:p>
      <w:pPr>
        <w:pStyle w:val="ListParagraph"/>
        <w:numPr>
          <w:ilvl w:val="0"/>
          <w:numId w:val="2"/>
        </w:numPr>
        <w:spacing w:after="80" w:line="276"/>
      </w:pPr>
      <w:r>
        <w:rPr>
          <w:rFonts w:ascii="Calibri" w:cs="Calibri" w:eastAsia="Calibri" w:hAnsi="Calibri"/>
          <w:color w:val="1A1A1A"/>
          <w:sz w:val="21"/>
          <w:szCs w:val="21"/>
        </w:rPr>
        <w:t xml:space="preserve">Where the databases provide only a class-level link — as they do for blaKPC-2 — the module reports that individual drugs are not enumerated and stops. The source notes that this "is NOT the same as 'no drugs', and treating it as data would invent precision we do not have".</w:t>
      </w:r>
    </w:p>
    <w:p>
      <w:pPr>
        <w:pStyle w:val="ListParagraph"/>
        <w:numPr>
          <w:ilvl w:val="0"/>
          <w:numId w:val="2"/>
        </w:numPr>
        <w:spacing w:after="80" w:line="276"/>
      </w:pPr>
      <w:r>
        <w:rPr>
          <w:rFonts w:ascii="Calibri" w:cs="Calibri" w:eastAsia="Calibri" w:hAnsi="Calibri"/>
          <w:color w:val="1A1A1A"/>
          <w:sz w:val="21"/>
          <w:szCs w:val="21"/>
        </w:rPr>
        <w:t xml:space="preserve">Scope limit, stated in the source: this layer does not change the classifier. Retraining it on a per-drug label space would require per-drug ground truth the project does not have.</w:t>
      </w:r>
    </w:p>
    <w:p>
      <w:pPr>
        <w:pStyle w:val="Heading3"/>
        <w:spacing w:after="100" w:before="200"/>
      </w:pPr>
      <w:r>
        <w:rPr>
          <w:rFonts w:ascii="Calibri" w:cs="Calibri" w:eastAsia="Calibri" w:hAnsi="Calibri"/>
          <w:b/>
          <w:bCs/>
          <w:color w:val="1F4E79"/>
          <w:sz w:val="22"/>
          <w:szCs w:val="22"/>
        </w:rPr>
        <w:t xml:space="preserve">Optional DNABERT-2 benchmark</w:t>
      </w:r>
    </w:p>
    <w:p>
      <w:pPr>
        <w:spacing w:after="120" w:line="276"/>
      </w:pPr>
      <w:r>
        <w:rPr>
          <w:rFonts w:ascii="Calibri" w:cs="Calibri" w:eastAsia="Calibri" w:hAnsi="Calibri"/>
          <w:color w:val="1A1A1A"/>
          <w:sz w:val="21"/>
          <w:szCs w:val="21"/>
        </w:rPr>
        <w:t xml:space="preserve">An optional path benchmarks frozen, mean-pooled DNABERT-2 (117M parameters) embeddings against the shipped k-mer featuriser, using an identical classifier head on identical data. It is not a dependency: when the backend is absent the module reports why and states that "the k-mer pipeline is unaffected — this is an optional benchmark, not a dependency".</w:t>
      </w:r>
    </w:p>
    <w:p>
      <w:pPr>
        <w:spacing w:after="120" w:line="276"/>
      </w:pPr>
      <w:r>
        <w:rPr>
          <w:rFonts w:ascii="Calibri" w:cs="Calibri" w:eastAsia="Calibri" w:hAnsi="Calibri"/>
          <w:color w:val="1A1A1A"/>
          <w:sz w:val="21"/>
          <w:szCs w:val="21"/>
        </w:rPr>
        <w:t xml:space="preserve">The team's stated expectation is that DNABERT-2 will underperform the k-mer baseline on this data, because the bundled training isolates are partly generated and the k-mer counter is well matched to how they were constructed. The reasoning given for shipping it anyway is that "reporting a benchmark you might lose is a stronger position than reporting an integration you cannot evaluate". The model is not fine-tuned in this path, because fine-tuning 117M parameters requires a GPU; a genuine fine-tuning run is provided as a separate Kaggle notebook.</w:t>
      </w:r>
    </w:p>
    <w:p>
      <w:r>
        <w:br w:type="page"/>
      </w:r>
    </w:p>
    <w:p>
      <w:pPr>
        <w:pStyle w:val="Heading1"/>
        <w:spacing w:after="160" w:before="360"/>
      </w:pPr>
      <w:r>
        <w:rPr>
          <w:rFonts w:ascii="Calibri" w:cs="Calibri" w:eastAsia="Calibri" w:hAnsi="Calibri"/>
          <w:b/>
          <w:bCs/>
          <w:color w:val="1F4E79"/>
          <w:sz w:val="30"/>
          <w:szCs w:val="30"/>
        </w:rPr>
        <w:t xml:space="preserve">9. Integration with Other Modules</w:t>
      </w:r>
    </w:p>
    <w:p>
      <w:pPr>
        <w:pStyle w:val="Heading2"/>
        <w:spacing w:after="120" w:before="260"/>
      </w:pPr>
      <w:r>
        <w:rPr>
          <w:rFonts w:ascii="Calibri" w:cs="Calibri" w:eastAsia="Calibri" w:hAnsi="Calibri"/>
          <w:b/>
          <w:bCs/>
          <w:color w:val="1A1A1A"/>
          <w:sz w:val="24"/>
          <w:szCs w:val="24"/>
        </w:rPr>
        <w:t xml:space="preserve">9.1 Data flow</w:t>
      </w:r>
    </w:p>
    <w:p>
      <w:pPr>
        <w:spacing w:after="120" w:line="276"/>
      </w:pPr>
      <w:r>
        <w:rPr>
          <w:rFonts w:ascii="Calibri" w:cs="Calibri" w:eastAsia="Calibri" w:hAnsi="Calibri"/>
          <w:color w:val="1A1A1A"/>
          <w:sz w:val="21"/>
          <w:szCs w:val="21"/>
        </w:rPr>
        <w:t xml:space="preserve">TrialSense runs all three modules on one screen from a single input set: two drug structures, a patient profile and a bacterial isolate. The modules are independent in computation and combine only at the report layer.</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200"/>
        <w:gridCol w:w="3300"/>
        <w:gridCol w:w="3520"/>
      </w:tblGrid>
      <w:tr>
        <w:trPr>
          <w:tblHeader/>
        </w:trPr>
        <w:tc>
          <w:tcPr>
            <w:tcW w:type="dxa" w:w="22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Module</w:t>
            </w:r>
          </w:p>
        </w:tc>
        <w:tc>
          <w:tcPr>
            <w:tcW w:type="dxa" w:w="3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Question it answers</w:t>
            </w:r>
          </w:p>
        </w:tc>
        <w:tc>
          <w:tcPr>
            <w:tcW w:type="dxa" w:w="35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Relationship to Module 3</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Module 1 — Drug–drug interaction</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Are these two drugs dangerous together?</w:t>
            </w:r>
          </w:p>
        </w:tc>
        <w:tc>
          <w:tcPr>
            <w:tcW w:type="dxa" w:w="3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Supplies the candidate's identity and antibiotic class, which selects the class Module 3 scores against. Module 3 reuses Module 1's 0.35 screening threshold and its two-layer architecture</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Module 2 — Patient-specific toxicity</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Is it more dangerous in this patient subgroup?</w:t>
            </w:r>
          </w:p>
        </w:tc>
        <w:tc>
          <w:tcPr>
            <w:tcW w:type="dxa" w:w="3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Independent of Module 3; both feed the composite score. Module 2 also supplies the renal study-design call</w:t>
            </w:r>
          </w:p>
        </w:tc>
      </w:tr>
      <w:tr>
        <w:trPr>
          <w:tblHeader w:val="false"/>
        </w:trPr>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Module 3 — AMR intelligence</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Does the target organism already defeat this drug?</w:t>
            </w:r>
          </w:p>
        </w:tc>
        <w:tc>
          <w:tcPr>
            <w:tcW w:type="dxa" w:w="35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Supplies the resistance component of the composite, plus six standalone feature reports</w:t>
            </w:r>
          </w:p>
        </w:tc>
      </w:tr>
    </w:tbl>
    <w:p>
      <w:pPr>
        <w:pStyle w:val="Heading2"/>
        <w:spacing w:after="120" w:before="260"/>
      </w:pPr>
      <w:r>
        <w:rPr>
          <w:rFonts w:ascii="Calibri" w:cs="Calibri" w:eastAsia="Calibri" w:hAnsi="Calibri"/>
          <w:b/>
          <w:bCs/>
          <w:color w:val="1A1A1A"/>
          <w:sz w:val="24"/>
          <w:szCs w:val="24"/>
        </w:rPr>
        <w:t xml:space="preserve">9.2 The composite risk score</w:t>
      </w:r>
    </w:p>
    <w:p>
      <w:pPr>
        <w:spacing w:after="120" w:line="276"/>
      </w:pPr>
      <w:r>
        <w:rPr>
          <w:rFonts w:ascii="Calibri" w:cs="Calibri" w:eastAsia="Calibri" w:hAnsi="Calibri"/>
          <w:color w:val="1A1A1A"/>
          <w:sz w:val="21"/>
          <w:szCs w:val="21"/>
        </w:rPr>
        <w:t xml:space="preserve">The unified report combines the modules into a single 0–100 score:</w:t>
      </w:r>
    </w:p>
    <w:p>
      <w:pPr>
        <w:shd w:fill="F2F4F7" w:val="clear"/>
        <w:spacing w:after="140" w:before="100"/>
        <w:ind w:left="200" w:right="200"/>
      </w:pPr>
      <w:r>
        <w:rPr>
          <w:rFonts w:ascii="Consolas" w:cs="Consolas" w:eastAsia="Consolas" w:hAnsi="Consolas"/>
          <w:color w:val="1A1A1A"/>
          <w:sz w:val="19"/>
          <w:szCs w:val="19"/>
        </w:rPr>
        <w:t xml:space="preserve">composite = 0.60 x (interaction &amp; toxicity component)  +  0.40 x (resistance component)</w:t>
      </w:r>
    </w:p>
    <w:p>
      <w:pPr>
        <w:shd w:fill="F2F4F7" w:val="clear"/>
        <w:spacing w:after="140" w:before="100"/>
        <w:ind w:left="200" w:right="200"/>
      </w:pPr>
      <w:r>
        <w:rPr>
          <w:rFonts w:ascii="Consolas" w:cs="Consolas" w:eastAsia="Consolas" w:hAnsi="Consolas"/>
          <w:color w:val="1A1A1A"/>
          <w:sz w:val="19"/>
          <w:szCs w:val="19"/>
        </w:rPr>
        <w:t xml:space="preserve">resistance component = [ 0.75 x P(target class)  +  0.25 x breadth ] x 100</w:t>
      </w:r>
    </w:p>
    <w:p>
      <w:pPr>
        <w:shd w:fill="F2F4F7" w:val="clear"/>
        <w:spacing w:after="140" w:before="100"/>
        <w:ind w:left="200" w:right="200"/>
      </w:pPr>
      <w:r>
        <w:rPr>
          <w:rFonts w:ascii="Consolas" w:cs="Consolas" w:eastAsia="Consolas" w:hAnsi="Consolas"/>
          <w:color w:val="1A1A1A"/>
          <w:sz w:val="19"/>
          <w:szCs w:val="19"/>
        </w:rPr>
        <w:t xml:space="preserve">breadth = (number of classes called resistant) / (number of classes screened)</w:t>
      </w:r>
    </w:p>
    <w:p>
      <w:pPr>
        <w:spacing w:after="120" w:line="276"/>
      </w:pPr>
      <w:r>
        <w:rPr>
          <w:rFonts w:ascii="Calibri" w:cs="Calibri" w:eastAsia="Calibri" w:hAnsi="Calibri"/>
          <w:color w:val="1A1A1A"/>
          <w:sz w:val="21"/>
          <w:szCs w:val="21"/>
        </w:rPr>
        <w:t xml:space="preserve">The blend is a transparent weighted combination, not a learned model, and every contribution is displayed separately. A portfolio decision needs a number whose provenance can be explained line by line.</w:t>
      </w:r>
    </w:p>
    <w:p>
      <w:pPr>
        <w:spacing w:after="120" w:line="276"/>
      </w:pPr>
      <w:r>
        <w:rPr>
          <w:rFonts w:ascii="Calibri" w:cs="Calibri" w:eastAsia="Calibri" w:hAnsi="Calibri"/>
          <w:b/>
          <w:bCs/>
          <w:color w:val="1A1A1A"/>
          <w:sz w:val="21"/>
          <w:szCs w:val="21"/>
        </w:rPr>
        <w:t xml:space="preserve">The rule that prevents a silent false pass. </w:t>
      </w:r>
      <w:r>
        <w:rPr>
          <w:rFonts w:ascii="Calibri" w:cs="Calibri" w:eastAsia="Calibri" w:hAnsi="Calibri"/>
          <w:color w:val="1A1A1A"/>
          <w:sz w:val="21"/>
          <w:szCs w:val="21"/>
        </w:rPr>
        <w:t xml:space="preserve">If the candidate antibiotic's class falls outside the twelve Module 3 screens, the resistance term is excluded from the composite entirely rather than contributing zero. Substituting 0.0 would read as "no resistance found" when the truth is "never checked". This was a real defect: it previously produced a confident "remains susceptible, 0% predicted resistance" for drugs such as metronidazole, whose class (Nitroimidazoles) is not among the twelve. A dedicated regression test now guards it.</w:t>
      </w:r>
    </w:p>
    <w:p>
      <w:pPr>
        <w:pStyle w:val="Heading2"/>
        <w:spacing w:after="120" w:before="260"/>
      </w:pPr>
      <w:r>
        <w:rPr>
          <w:rFonts w:ascii="Calibri" w:cs="Calibri" w:eastAsia="Calibri" w:hAnsi="Calibri"/>
          <w:b/>
          <w:bCs/>
          <w:color w:val="1A1A1A"/>
          <w:sz w:val="24"/>
          <w:szCs w:val="24"/>
        </w:rPr>
        <w:t xml:space="preserve">9.3 Outputs from other modules that bear on Module 3</w:t>
      </w:r>
    </w:p>
    <w:p>
      <w:pPr>
        <w:spacing w:after="120" w:line="276"/>
      </w:pPr>
      <w:r>
        <w:rPr>
          <w:rFonts w:ascii="Calibri" w:cs="Calibri" w:eastAsia="Calibri" w:hAnsi="Calibri"/>
          <w:color w:val="1A1A1A"/>
          <w:sz w:val="21"/>
          <w:szCs w:val="21"/>
        </w:rPr>
        <w:t xml:space="preserve">Two of the five bundled demonstration cases turn on a Module 3 result, which is the clearest evidence of genuine integration rather than three tools on one page.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1400"/>
        <w:gridCol w:w="3400"/>
        <w:gridCol w:w="4220"/>
      </w:tblGrid>
      <w:tr>
        <w:trPr>
          <w:tblHeader/>
        </w:trPr>
        <w:tc>
          <w:tcPr>
            <w:tcW w:type="dxa" w:w="1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Case</w:t>
            </w:r>
          </w:p>
        </w:tc>
        <w:tc>
          <w:tcPr>
            <w:tcW w:type="dxa" w:w="3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Scenario</w:t>
            </w:r>
          </w:p>
        </w:tc>
        <w:tc>
          <w:tcPr>
            <w:tcW w:type="dxa" w:w="42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How Module 3 changes the conclusion</w:t>
            </w:r>
          </w:p>
        </w:tc>
      </w:tr>
      <w:tr>
        <w:trPr>
          <w:tblHeader w:val="false"/>
        </w:trPr>
        <w:tc>
          <w:tcPr>
            <w:tcW w:type="dxa" w:w="1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Case 3</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Meropenem + Furosemide, carbapenem-resistant K. pneumoniae</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interaction modules find a manageable pairing. Module 3 finds that the target organism already defeats the entire carbapenem class, and Feature 2 identifies the determinant as blaNDM-1 — a metallo-enzyme with no rescue route. The recommendation changes from "monitor" to a portfolio-level decision not to pursue the indication</w:t>
            </w:r>
          </w:p>
        </w:tc>
      </w:tr>
      <w:tr>
        <w:trPr>
          <w:tblHeader w:val="false"/>
        </w:trPr>
        <w:tc>
          <w:tcPr>
            <w:tcW w:type="dxa" w:w="1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Case 4</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Warfarin + Rifampicin, MDR-TB</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Module 3 correctly declines to forecast: M. tuberculosis is not an ICMR AMRSN surveillance organism, so Feature 1 returns UNKNOWN with a stated reason rather than substituting a proxy series</w:t>
            </w:r>
          </w:p>
        </w:tc>
      </w:tr>
      <w:tr>
        <w:trPr>
          <w:tblHeader w:val="false"/>
        </w:trPr>
        <w:tc>
          <w:tcPr>
            <w:tcW w:type="dxa" w:w="1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Case 5</w:t>
            </w:r>
          </w:p>
        </w:tc>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Amoxicillin + Metformin, susceptible control</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All three modules return clear. The susceptible reference strain yields no detected determinant and a CLEAN open-world verdict — evidence the tool does not simply flag everything</w:t>
            </w:r>
          </w:p>
        </w:tc>
      </w:tr>
    </w:tbl>
    <w:p>
      <w:pPr>
        <w:spacing w:after="120" w:line="276"/>
      </w:pPr>
      <w:r>
        <w:rPr>
          <w:rFonts w:ascii="Calibri" w:cs="Calibri" w:eastAsia="Calibri" w:hAnsi="Calibri"/>
          <w:color w:val="1A1A1A"/>
          <w:sz w:val="21"/>
          <w:szCs w:val="21"/>
        </w:rPr>
        <w:t xml:space="preserve">Case 4 is worth a reviewer's attention because declining to answer is the behaviour most screening tools get wrong, and it is a deliberate design choice here rather than a gap.</w:t>
      </w:r>
    </w:p>
    <w:p>
      <w:r>
        <w:br w:type="page"/>
      </w:r>
    </w:p>
    <w:p>
      <w:pPr>
        <w:pStyle w:val="Heading1"/>
        <w:spacing w:after="160" w:before="360"/>
      </w:pPr>
      <w:r>
        <w:rPr>
          <w:rFonts w:ascii="Calibri" w:cs="Calibri" w:eastAsia="Calibri" w:hAnsi="Calibri"/>
          <w:b/>
          <w:bCs/>
          <w:color w:val="1F4E79"/>
          <w:sz w:val="30"/>
          <w:szCs w:val="30"/>
        </w:rPr>
        <w:t xml:space="preserve">10. Validation and Results</w:t>
      </w:r>
    </w:p>
    <w:p>
      <w:pPr>
        <w:spacing w:after="120" w:line="276"/>
      </w:pPr>
      <w:r>
        <w:rPr>
          <w:rFonts w:ascii="Calibri" w:cs="Calibri" w:eastAsia="Calibri" w:hAnsi="Calibri"/>
          <w:color w:val="1A1A1A"/>
          <w:sz w:val="21"/>
          <w:szCs w:val="21"/>
        </w:rPr>
        <w:t xml:space="preserve">Accuracy alone does not answer "does this help an R&amp;D team?", so Module 3 is validated by seven separate checks, all reproduced by a single command. Each subsection names the file and key the figure comes from.</w:t>
      </w:r>
    </w:p>
    <w:p>
      <w:pPr>
        <w:shd w:fill="F2F4F7" w:val="clear"/>
        <w:spacing w:after="140" w:before="100"/>
        <w:ind w:left="200" w:right="200"/>
      </w:pPr>
      <w:r>
        <w:rPr>
          <w:rFonts w:ascii="Consolas" w:cs="Consolas" w:eastAsia="Consolas" w:hAnsi="Consolas"/>
          <w:color w:val="1A1A1A"/>
          <w:sz w:val="19"/>
          <w:szCs w:val="19"/>
        </w:rPr>
        <w:t xml:space="preserve">python validate_module3.py   -&gt;  models/validation.json   (runtime ~145 s)</w:t>
      </w:r>
    </w:p>
    <w:p>
      <w:pPr>
        <w:pStyle w:val="Heading2"/>
        <w:spacing w:after="120" w:before="260"/>
      </w:pPr>
      <w:r>
        <w:rPr>
          <w:rFonts w:ascii="Calibri" w:cs="Calibri" w:eastAsia="Calibri" w:hAnsi="Calibri"/>
          <w:b/>
          <w:bCs/>
          <w:color w:val="1A1A1A"/>
          <w:sz w:val="24"/>
          <w:szCs w:val="24"/>
        </w:rPr>
        <w:t xml:space="preserve">10.0 Headline classifier performance</w:t>
      </w:r>
    </w:p>
    <w:p>
      <w:pPr>
        <w:spacing w:after="120" w:line="276"/>
      </w:pPr>
      <w:r>
        <w:rPr>
          <w:rFonts w:ascii="Calibri" w:cs="Calibri" w:eastAsia="Calibri" w:hAnsi="Calibri"/>
          <w:color w:val="1A1A1A"/>
          <w:sz w:val="21"/>
          <w:szCs w:val="21"/>
        </w:rPr>
        <w:t xml:space="preserve">Source: models/metrics.json, key amr. 700 isolates, 1,024 features, k = 5.</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3400"/>
        <w:gridCol w:w="1900"/>
        <w:gridCol w:w="1900"/>
        <w:gridCol w:w="1820"/>
      </w:tblGrid>
      <w:tr>
        <w:trPr>
          <w:tblHeader/>
        </w:trPr>
        <w:tc>
          <w:tcPr>
            <w:tcW w:type="dxa" w:w="3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Split</w:t>
            </w:r>
          </w:p>
        </w:tc>
        <w:tc>
          <w:tcPr>
            <w:tcW w:type="dxa" w:w="19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macro-F1</w:t>
            </w:r>
          </w:p>
        </w:tc>
        <w:tc>
          <w:tcPr>
            <w:tcW w:type="dxa" w:w="19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Per-label accuracy</w:t>
            </w:r>
          </w:p>
        </w:tc>
        <w:tc>
          <w:tcPr>
            <w:tcW w:type="dxa" w:w="18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Exact match</w:t>
            </w:r>
          </w:p>
        </w:tc>
      </w:tr>
      <w:tr>
        <w:trPr>
          <w:tblHeader w:val="false"/>
        </w:trPr>
        <w:tc>
          <w:tcPr>
            <w:tcW w:type="dxa" w:w="3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Random split (n = 175)</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0.900</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95.1%</w:t>
            </w:r>
          </w:p>
        </w:tc>
        <w:tc>
          <w:tcPr>
            <w:tcW w:type="dxa" w:w="1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58.9%</w:t>
            </w:r>
          </w:p>
        </w:tc>
      </w:tr>
      <w:tr>
        <w:trPr>
          <w:tblHeader w:val="false"/>
        </w:trPr>
        <w:tc>
          <w:tcPr>
            <w:tcW w:type="dxa" w:w="34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Cold-combination split (n = 219, 113 unseen combinations)</w:t>
            </w:r>
          </w:p>
        </w:tc>
        <w:tc>
          <w:tcPr>
            <w:tcW w:type="dxa" w:w="19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0.841</w:t>
            </w:r>
          </w:p>
        </w:tc>
        <w:tc>
          <w:tcPr>
            <w:tcW w:type="dxa" w:w="1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94.3%</w:t>
            </w:r>
          </w:p>
        </w:tc>
        <w:tc>
          <w:tcPr>
            <w:tcW w:type="dxa" w:w="18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51.1%</w:t>
            </w:r>
          </w:p>
        </w:tc>
      </w:tr>
    </w:tbl>
    <w:p>
      <w:pPr>
        <w:spacing w:after="120" w:line="276"/>
      </w:pPr>
      <w:r>
        <w:rPr>
          <w:rFonts w:ascii="Calibri" w:cs="Calibri" w:eastAsia="Calibri" w:hAnsi="Calibri"/>
          <w:color w:val="1A1A1A"/>
          <w:sz w:val="21"/>
          <w:szCs w:val="21"/>
        </w:rPr>
        <w:t xml:space="preserve">The cold-combination split withholds entire gene combinations from training. Holding macro-F1 at 0.841 on combinations never seen shows the model detects determinants compositionally rather than memorising whole-isolate fingerprints — the property that determines whether it works on a new field isolate. Exact match is much lower than per-label accuracy because getting all twelve labels simultaneously correct is a far stricter requirement than getting each one right.</w:t>
      </w:r>
    </w:p>
    <w:p>
      <w:pPr>
        <w:pStyle w:val="Heading2"/>
        <w:spacing w:after="120" w:before="260"/>
      </w:pPr>
      <w:r>
        <w:rPr>
          <w:rFonts w:ascii="Calibri" w:cs="Calibri" w:eastAsia="Calibri" w:hAnsi="Calibri"/>
          <w:b/>
          <w:bCs/>
          <w:color w:val="1A1A1A"/>
          <w:sz w:val="24"/>
          <w:szCs w:val="24"/>
        </w:rPr>
        <w:t xml:space="preserve">10.1 Error types, reported separately — and which layer they belong to</w:t>
      </w:r>
    </w:p>
    <w:p>
      <w:pPr>
        <w:spacing w:after="120" w:line="276"/>
      </w:pPr>
      <w:r>
        <w:rPr>
          <w:rFonts w:ascii="Calibri" w:cs="Calibri" w:eastAsia="Calibri" w:hAnsi="Calibri"/>
          <w:color w:val="1A1A1A"/>
          <w:sz w:val="21"/>
          <w:szCs w:val="21"/>
        </w:rPr>
        <w:t xml:space="preserve">Regulators do not score susceptibility devices on accuracy. They count two error types, because the costs are wildly asymmetric.</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Error type</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Definition and consequence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Very major error</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Predicted susceptible, actually resistant. The drug fails in patients. Programme-ending</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Major error</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Predicted resistant, actually susceptible. One confirmatory assay recovers it</w:t>
            </w:r>
          </w:p>
        </w:tc>
      </w:tr>
    </w:tbl>
    <w:p>
      <w:pPr>
        <w:spacing w:after="120" w:line="276"/>
      </w:pPr>
      <w:r>
        <w:rPr>
          <w:rFonts w:ascii="Calibri" w:cs="Calibri" w:eastAsia="Calibri" w:hAnsi="Calibri"/>
          <w:color w:val="1A1A1A"/>
          <w:sz w:val="21"/>
          <w:szCs w:val="21"/>
        </w:rPr>
        <w:t xml:space="preserve">The classifier alone, on held-out isolates at the shipped 0.35 screening threshold (2,100 label decisions across 175 isolates; 621 actually resistant, 1,479 actually susceptible):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2300"/>
        <w:gridCol w:w="23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Measure</w:t>
            </w:r>
          </w:p>
        </w:tc>
        <w:tc>
          <w:tcPr>
            <w:tcW w:type="dxa" w:w="2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Count</w:t>
            </w:r>
          </w:p>
        </w:tc>
        <w:tc>
          <w:tcPr>
            <w:tcW w:type="dxa" w:w="23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Rate</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Very major errors</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46</w:t>
            </w:r>
          </w:p>
        </w:tc>
        <w:tc>
          <w:tcPr>
            <w:tcW w:type="dxa" w:w="23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7.41%</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Major errors</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54</w:t>
            </w:r>
          </w:p>
        </w:tc>
        <w:tc>
          <w:tcPr>
            <w:tcW w:type="dxa" w:w="23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3.65%</w:t>
            </w:r>
          </w:p>
        </w:tc>
      </w:tr>
    </w:tbl>
    <w:p>
      <w:pPr>
        <w:spacing w:after="120" w:line="276"/>
      </w:pPr>
      <w:r>
        <w:rPr>
          <w:rFonts w:ascii="Calibri" w:cs="Calibri" w:eastAsia="Calibri" w:hAnsi="Calibri"/>
          <w:color w:val="1A1A1A"/>
          <w:sz w:val="21"/>
          <w:szCs w:val="21"/>
        </w:rPr>
        <w:t xml:space="preserve">The deployed pipeline — classifier plus gene detection plus mechanism floor — across all 12 bundled strains (144 class calls):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1600"/>
        <w:gridCol w:w="1600"/>
        <w:gridCol w:w="14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Configuration</w:t>
            </w:r>
          </w:p>
        </w:tc>
        <w:tc>
          <w:tcPr>
            <w:tcW w:type="dxa" w:w="1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Very major</w:t>
            </w:r>
          </w:p>
        </w:tc>
        <w:tc>
          <w:tcPr>
            <w:tcW w:type="dxa" w:w="1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Major</w:t>
            </w:r>
          </w:p>
        </w:tc>
        <w:tc>
          <w:tcPr>
            <w:tcW w:type="dxa" w:w="1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Correct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Classifier alone</w:t>
            </w:r>
          </w:p>
        </w:tc>
        <w:tc>
          <w:tcPr>
            <w:tcW w:type="dxa" w:w="1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w:t>
            </w:r>
          </w:p>
        </w:tc>
        <w:tc>
          <w:tcPr>
            <w:tcW w:type="dxa" w:w="1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1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96.5%</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 gene detection override</w:t>
            </w:r>
          </w:p>
        </w:tc>
        <w:tc>
          <w:tcPr>
            <w:tcW w:type="dxa" w:w="16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w:t>
            </w:r>
          </w:p>
        </w:tc>
        <w:tc>
          <w:tcPr>
            <w:tcW w:type="dxa" w:w="160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w:t>
            </w:r>
          </w:p>
        </w:tc>
        <w:tc>
          <w:tcPr>
            <w:tcW w:type="dxa" w:w="14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100.0%</w:t>
            </w:r>
          </w:p>
        </w:tc>
      </w:tr>
    </w:tbl>
    <w:p>
      <w:pPr>
        <w:spacing w:after="120" w:line="276"/>
      </w:pPr>
      <w:r>
        <w:rPr>
          <w:rFonts w:ascii="Calibri" w:cs="Calibri" w:eastAsia="Calibri" w:hAnsi="Calibri"/>
          <w:color w:val="1A1A1A"/>
          <w:sz w:val="21"/>
          <w:szCs w:val="21"/>
        </w:rPr>
        <w:t xml:space="preserve">The gene layer removes 5 very-major errors and introduces none. The five it fixes are instructive: P. aeruginosa carbapenems (classifier 0.111 despite blaKPC-2 present), A. baumannii carbapenems (0.482) and penicillins (0.392), K. pneumoniae fluoroquinolones (0.477), and MSSA penicillins (0.379) — four of the five sat in or just below the equivocal band.</w:t>
      </w:r>
    </w:p>
    <w:p>
      <w:pPr>
        <w:spacing w:after="120" w:line="276"/>
      </w:pPr>
      <w:r>
        <w:rPr>
          <w:rFonts w:ascii="Calibri" w:cs="Calibri" w:eastAsia="Calibri" w:hAnsi="Calibri"/>
          <w:b/>
          <w:bCs/>
          <w:color w:val="9C4221"/>
          <w:sz w:val="21"/>
          <w:szCs w:val="21"/>
        </w:rPr>
        <w:t xml:space="preserve">Reviewer caution, stated by the team: </w:t>
      </w:r>
      <w:r>
        <w:rPr>
          <w:rFonts w:ascii="Calibri" w:cs="Calibri" w:eastAsia="Calibri" w:hAnsi="Calibri"/>
          <w:color w:val="1A1A1A"/>
          <w:sz w:val="21"/>
          <w:szCs w:val="21"/>
        </w:rPr>
        <w:t xml:space="preserve">the 12 bundled strains are not a held-out test set, because their gene contents were chosen by the team. The 100% figure should be read as an integration check. The clade-held-out result in §10.3 is the honest generalisation number.</w:t>
      </w:r>
    </w:p>
    <w:p>
      <w:pPr>
        <w:pStyle w:val="Heading2"/>
        <w:spacing w:after="120" w:before="260"/>
      </w:pPr>
      <w:r>
        <w:rPr>
          <w:rFonts w:ascii="Calibri" w:cs="Calibri" w:eastAsia="Calibri" w:hAnsi="Calibri"/>
          <w:b/>
          <w:bCs/>
          <w:color w:val="1A1A1A"/>
          <w:sz w:val="24"/>
          <w:szCs w:val="24"/>
        </w:rPr>
        <w:t xml:space="preserve">10.2 Calibration — measured, because it was changed</w:t>
      </w:r>
    </w:p>
    <w:p>
      <w:pPr>
        <w:spacing w:after="120" w:line="276"/>
      </w:pPr>
      <w:r>
        <w:rPr>
          <w:rFonts w:ascii="Calibri" w:cs="Calibri" w:eastAsia="Calibri" w:hAnsi="Calibri"/>
          <w:color w:val="1A1A1A"/>
          <w:sz w:val="21"/>
          <w:szCs w:val="21"/>
        </w:rPr>
        <w:t xml:space="preserve">Source: models/validation.json, key errors_calibration.calibration_comparison. A model can be accurate and still dishonest about its own confidence.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2300"/>
        <w:gridCol w:w="23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Measure</w:t>
            </w:r>
          </w:p>
        </w:tc>
        <w:tc>
          <w:tcPr>
            <w:tcW w:type="dxa" w:w="2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Raw forest</w:t>
            </w:r>
          </w:p>
        </w:tc>
        <w:tc>
          <w:tcPr>
            <w:tcW w:type="dxa" w:w="23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Isotonic-calibrated</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Brier score (lower is better)</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0.0699</w:t>
            </w:r>
          </w:p>
        </w:tc>
        <w:tc>
          <w:tcPr>
            <w:tcW w:type="dxa" w:w="23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0.0375</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Expected calibration error</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0.1002</w:t>
            </w:r>
          </w:p>
        </w:tc>
        <w:tc>
          <w:tcPr>
            <w:tcW w:type="dxa" w:w="23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0.0145</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Major error rate at 0.35</w:t>
            </w:r>
          </w:p>
        </w:tc>
        <w:tc>
          <w:tcPr>
            <w:tcW w:type="dxa" w:w="2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10.01%</w:t>
            </w:r>
          </w:p>
        </w:tc>
        <w:tc>
          <w:tcPr>
            <w:tcW w:type="dxa" w:w="23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3.65%</w:t>
            </w:r>
          </w:p>
        </w:tc>
      </w:tr>
    </w:tbl>
    <w:p>
      <w:pPr>
        <w:spacing w:after="120" w:line="276"/>
      </w:pPr>
      <w:r>
        <w:rPr>
          <w:rFonts w:ascii="Calibri" w:cs="Calibri" w:eastAsia="Calibri" w:hAnsi="Calibri"/>
          <w:color w:val="1A1A1A"/>
          <w:sz w:val="21"/>
          <w:szCs w:val="21"/>
        </w:rPr>
        <w:t xml:space="preserve">Expected calibration error falls by a factor of roughly seven. Since the composite score multiplies this probability, the correction propagates directly into the funding-relevant number.</w:t>
      </w:r>
    </w:p>
    <w:p>
      <w:pPr>
        <w:pStyle w:val="Heading2"/>
        <w:spacing w:after="120" w:before="260"/>
      </w:pPr>
      <w:r>
        <w:rPr>
          <w:rFonts w:ascii="Calibri" w:cs="Calibri" w:eastAsia="Calibri" w:hAnsi="Calibri"/>
          <w:b/>
          <w:bCs/>
          <w:color w:val="1A1A1A"/>
          <w:sz w:val="24"/>
          <w:szCs w:val="24"/>
        </w:rPr>
        <w:t xml:space="preserve">10.3 Clade-held-out validation</w:t>
      </w:r>
    </w:p>
    <w:p>
      <w:pPr>
        <w:spacing w:after="120" w:line="276"/>
      </w:pPr>
      <w:r>
        <w:rPr>
          <w:rFonts w:ascii="Calibri" w:cs="Calibri" w:eastAsia="Calibri" w:hAnsi="Calibri"/>
          <w:color w:val="1A1A1A"/>
          <w:sz w:val="21"/>
          <w:szCs w:val="21"/>
        </w:rPr>
        <w:t xml:space="preserve">Source: models/validation.json, key clade_holdout. An entire species background is removed from training and used only for testing — a population-structure control, rather than a random split that lets near-identical isolates fall on both sides.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Measure</w:t>
            </w:r>
          </w:p>
        </w:tc>
        <w:tc>
          <w:tcPr>
            <w:tcW w:type="dxa" w:w="4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Result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Held-out clades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8</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Mean macro-F1</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0.904 ± 0.021</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Worst clade</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0.883</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Best clade</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0.950</w:t>
            </w:r>
          </w:p>
        </w:tc>
      </w:tr>
    </w:tbl>
    <w:p>
      <w:pPr>
        <w:spacing w:after="120" w:line="276"/>
      </w:pPr>
      <w:r>
        <w:rPr>
          <w:rFonts w:ascii="Calibri" w:cs="Calibri" w:eastAsia="Calibri" w:hAnsi="Calibri"/>
          <w:color w:val="1A1A1A"/>
          <w:sz w:val="21"/>
          <w:szCs w:val="21"/>
        </w:rPr>
        <w:t xml:space="preserve">The narrow spread and the high worst case together are the point: performance does not depend on which species background the model happens to have seen. This is the figure the team puts forward as its generalisation claim.</w:t>
      </w:r>
    </w:p>
    <w:p>
      <w:pPr>
        <w:pStyle w:val="Heading2"/>
        <w:spacing w:after="120" w:before="260"/>
      </w:pPr>
      <w:r>
        <w:rPr>
          <w:rFonts w:ascii="Calibri" w:cs="Calibri" w:eastAsia="Calibri" w:hAnsi="Calibri"/>
          <w:b/>
          <w:bCs/>
          <w:color w:val="1A1A1A"/>
          <w:sz w:val="24"/>
          <w:szCs w:val="24"/>
        </w:rPr>
        <w:t xml:space="preserve">10.4 Dark Genome detector</w:t>
      </w:r>
    </w:p>
    <w:p>
      <w:pPr>
        <w:spacing w:after="120" w:line="276"/>
      </w:pPr>
      <w:r>
        <w:rPr>
          <w:rFonts w:ascii="Calibri" w:cs="Calibri" w:eastAsia="Calibri" w:hAnsi="Calibri"/>
          <w:color w:val="1A1A1A"/>
          <w:sz w:val="21"/>
          <w:szCs w:val="21"/>
        </w:rPr>
        <w:t xml:space="preserve">Source: models/validation.json, key novelty.</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Measure</w:t>
            </w:r>
          </w:p>
        </w:tc>
        <w:tc>
          <w:tcPr>
            <w:tcW w:type="dxa" w:w="4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Result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False positives</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0 of 12 clean demonstration strains</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Sensitivity</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7 of 7 planted unknown elements detected</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Separation</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Clean peak divergence 0.118 vs spiked minimum 0.232</w:t>
            </w:r>
          </w:p>
        </w:tc>
      </w:tr>
    </w:tbl>
    <w:p>
      <w:pPr>
        <w:spacing w:after="120" w:line="276"/>
      </w:pPr>
      <w:r>
        <w:rPr>
          <w:rFonts w:ascii="Calibri" w:cs="Calibri" w:eastAsia="Calibri" w:hAnsi="Calibri"/>
          <w:color w:val="1A1A1A"/>
          <w:sz w:val="21"/>
          <w:szCs w:val="21"/>
        </w:rPr>
        <w:t xml:space="preserve">The detection floor of 0.18 sits between those two figures with better than a 2× margin on each side. Every detected segment is additionally verified to match no reference above the 0.83 identification threshold, so the detector cannot be firing on genes it should already have named.</w:t>
      </w:r>
    </w:p>
    <w:p>
      <w:pPr>
        <w:pStyle w:val="Heading2"/>
        <w:spacing w:after="120" w:before="260"/>
      </w:pPr>
      <w:r>
        <w:rPr>
          <w:rFonts w:ascii="Calibri" w:cs="Calibri" w:eastAsia="Calibri" w:hAnsi="Calibri"/>
          <w:b/>
          <w:bCs/>
          <w:color w:val="1A1A1A"/>
          <w:sz w:val="24"/>
          <w:szCs w:val="24"/>
        </w:rPr>
        <w:t xml:space="preserve">10.5 Forecast backtest — the check that makes Feature 1 real</w:t>
      </w:r>
    </w:p>
    <w:p>
      <w:pPr>
        <w:spacing w:after="120" w:line="276"/>
      </w:pPr>
      <w:r>
        <w:rPr>
          <w:rFonts w:ascii="Calibri" w:cs="Calibri" w:eastAsia="Calibri" w:hAnsi="Calibri"/>
          <w:color w:val="1A1A1A"/>
          <w:sz w:val="21"/>
          <w:szCs w:val="21"/>
        </w:rPr>
        <w:t xml:space="preserve">Source: models/validation.json, key forecast_backtest. The forecaster is fitted on ICMR years up to and including 2020 only, then asked to predict 2021–2024, which it never saw. This is a genuine time split against real observed data — the strongest single piece of evidence in this report, because neither the inputs nor the targets were produced by the team.</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Measure</w:t>
            </w:r>
          </w:p>
        </w:tc>
        <w:tc>
          <w:tcPr>
            <w:tcW w:type="dxa" w:w="4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Result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Predictions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184 across 46 organism × antibiotic series</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Mean absolute error</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4.93 percentage points</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Median absolute error</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3.55 pp</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90th-percentile absolute error</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11.99 pp</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Within 5 pp / within 10 pp</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64% / 85%</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Best series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 aureus × vancomycin (0.15 pp), E. faecium × vancomycin (0.78 pp)</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Worst series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K. pneumoniae × ciprofloxacin (17.2 pp), P. aeruginosa × imipenem (15.5 pp)</w:t>
            </w:r>
          </w:p>
        </w:tc>
      </w:tr>
    </w:tbl>
    <w:p>
      <w:pPr>
        <w:spacing w:after="120" w:line="276"/>
      </w:pPr>
      <w:r>
        <w:rPr>
          <w:rFonts w:ascii="Calibri" w:cs="Calibri" w:eastAsia="Calibri" w:hAnsi="Calibri"/>
          <w:color w:val="1A1A1A"/>
          <w:sz w:val="21"/>
          <w:szCs w:val="21"/>
        </w:rPr>
        <w:t xml:space="preserve">The best-performing series are the flat ones, where the module deliberately holds the value constant rather than fitting a slope — so their accuracy validates that design choice rather than the regression. The worst series are the volatile ones, and a roughly 17-point error on a decade-long projection is a material limitation that the displayed uncertainty cone is intended to communicate.</w:t>
      </w:r>
    </w:p>
    <w:p>
      <w:pPr>
        <w:pStyle w:val="Heading2"/>
        <w:spacing w:after="120" w:before="260"/>
      </w:pPr>
      <w:r>
        <w:rPr>
          <w:rFonts w:ascii="Calibri" w:cs="Calibri" w:eastAsia="Calibri" w:hAnsi="Calibri"/>
          <w:b/>
          <w:bCs/>
          <w:color w:val="1A1A1A"/>
          <w:sz w:val="24"/>
          <w:szCs w:val="24"/>
        </w:rPr>
        <w:t xml:space="preserve">10.6 Feature 3 measured against real ICMR national data</w:t>
      </w:r>
    </w:p>
    <w:p>
      <w:pPr>
        <w:spacing w:after="120" w:line="276"/>
      </w:pPr>
      <w:r>
        <w:rPr>
          <w:rFonts w:ascii="Calibri" w:cs="Calibri" w:eastAsia="Calibri" w:hAnsi="Calibri"/>
          <w:color w:val="1A1A1A"/>
          <w:sz w:val="21"/>
          <w:szCs w:val="21"/>
        </w:rPr>
        <w:t xml:space="preserve">Source: models/validation.json, key cross_check. Feature 3 produces no predictive data of its own, so without this check its only validation claim would be that the grid has the right number of cells. Every prediction is laid against the real ICMR national figure for the same organism and antibiotic class, for reference year 2024.</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4400"/>
        <w:gridCol w:w="4620"/>
      </w:tblGrid>
      <w:tr>
        <w:trPr>
          <w:tblHeader/>
        </w:trPr>
        <w:tc>
          <w:tcPr>
            <w:tcW w:type="dxa" w:w="4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Measure</w:t>
            </w:r>
          </w:p>
        </w:tc>
        <w:tc>
          <w:tcPr>
            <w:tcW w:type="dxa" w:w="4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Result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Overall verdict</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MOSTLY CONSISTENT</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Rows generated / with an ICMR reference</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76 / 49</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Track the national rate (within 15 pp)</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14</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Differ in the expected direction</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34</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Diverge in an unexpected direction (CONCERN)</w:t>
            </w:r>
          </w:p>
        </w:tc>
        <w:tc>
          <w:tcPr>
            <w:tcW w:type="dxa" w:w="4620"/>
            <w:tcMar>
              <w:top w:type="dxa" w:w="70"/>
              <w:left w:type="dxa" w:w="110"/>
              <w:bottom w:type="dxa" w:w="70"/>
              <w:right w:type="dxa" w:w="110"/>
            </w:tcMar>
          </w:tcPr>
          <w:p>
            <w:pPr>
              <w:spacing w:after="0" w:line="252"/>
            </w:pPr>
            <w:r>
              <w:rPr>
                <w:rFonts w:ascii="Calibri" w:cs="Calibri" w:eastAsia="Calibri" w:hAnsi="Calibri"/>
                <w:b/>
                <w:bCs/>
                <w:color w:val="9C4221"/>
                <w:sz w:val="19"/>
                <w:szCs w:val="19"/>
              </w:rPr>
              <w:t xml:space="preserve">1</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Flagged for review (incl. wide-but-expected gaps)</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16</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 ICMR reference published</w:t>
            </w:r>
          </w:p>
        </w:tc>
        <w:tc>
          <w:tcPr>
            <w:tcW w:type="dxa" w:w="4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27 — reported, not silently skipped</w:t>
            </w:r>
          </w:p>
        </w:tc>
      </w:tr>
      <w:tr>
        <w:trPr>
          <w:tblHeader w:val="false"/>
        </w:trPr>
        <w:tc>
          <w:tcPr>
            <w:tcW w:type="dxa" w:w="4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Mean gap across aligned pairings</w:t>
            </w:r>
          </w:p>
        </w:tc>
        <w:tc>
          <w:tcPr>
            <w:tcW w:type="dxa" w:w="4620"/>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5.1 pp</w:t>
            </w:r>
          </w:p>
        </w:tc>
      </w:tr>
    </w:tbl>
    <w:p>
      <w:pPr>
        <w:spacing w:after="120" w:line="276"/>
      </w:pPr>
      <w:r>
        <w:rPr>
          <w:rFonts w:ascii="Calibri" w:cs="Calibri" w:eastAsia="Calibri" w:hAnsi="Calibri"/>
          <w:b/>
          <w:bCs/>
          <w:color w:val="1A1A1A"/>
          <w:sz w:val="21"/>
          <w:szCs w:val="21"/>
        </w:rPr>
        <w:t xml:space="preserve">The two numbers measure different things, and the code accounts for it. </w:t>
      </w:r>
      <w:r>
        <w:rPr>
          <w:rFonts w:ascii="Calibri" w:cs="Calibri" w:eastAsia="Calibri" w:hAnsi="Calibri"/>
          <w:color w:val="1A1A1A"/>
          <w:sz w:val="21"/>
          <w:szCs w:val="21"/>
        </w:rPr>
        <w:t xml:space="preserve">The grid says "this isolate carries determinants predicting resistance"; ICMR says "X% of all isolates nationally tested resistant". A strain constructed to be resistant should read above a national average that mixes resistant and susceptible isolates. Each comparison is therefore judged against its expected direction — carrying a determinant means a high reading is expected, a susceptible control means a low one is — and only unexpected divergences are flagged. Scoring every difference as a failure would mislead as badly as scoring every difference as a success.</w:t>
      </w:r>
    </w:p>
    <w:p>
      <w:pPr>
        <w:spacing w:after="120" w:line="276"/>
      </w:pPr>
      <w:r>
        <w:rPr>
          <w:rFonts w:ascii="Calibri" w:cs="Calibri" w:eastAsia="Calibri" w:hAnsi="Calibri"/>
          <w:color w:val="1A1A1A"/>
          <w:sz w:val="21"/>
          <w:szCs w:val="21"/>
        </w:rPr>
        <w:t xml:space="preserve">The single unexpected divergence is disclosed in full:</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900"/>
        <w:gridCol w:w="1500"/>
        <w:gridCol w:w="1500"/>
        <w:gridCol w:w="3120"/>
      </w:tblGrid>
      <w:tr>
        <w:trPr>
          <w:tblHeader/>
        </w:trPr>
        <w:tc>
          <w:tcPr>
            <w:tcW w:type="dxa" w:w="29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Pairing</w:t>
            </w:r>
          </w:p>
        </w:tc>
        <w:tc>
          <w:tcPr>
            <w:tcW w:type="dxa" w:w="15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Model</w:t>
            </w:r>
          </w:p>
        </w:tc>
        <w:tc>
          <w:tcPr>
            <w:tcW w:type="dxa" w:w="15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ICMR</w:t>
            </w:r>
          </w:p>
        </w:tc>
        <w:tc>
          <w:tcPr>
            <w:tcW w:type="dxa" w:w="31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Diagnosis recorded by the tool</w:t>
            </w:r>
          </w:p>
        </w:tc>
      </w:tr>
      <w:tr>
        <w:trPr>
          <w:tblHeader w:val="false"/>
        </w:trPr>
        <w:tc>
          <w:tcPr>
            <w:tcW w:type="dxa" w:w="29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 aureus × Glycopeptides</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27.8%</w:t>
            </w:r>
          </w:p>
        </w:tc>
        <w:tc>
          <w:tcPr>
            <w:tcW w:type="dxa" w:w="15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0.0%</w:t>
            </w:r>
          </w:p>
        </w:tc>
        <w:tc>
          <w:tcPr>
            <w:tcW w:type="dxa" w:w="31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Over-call. The isolate carries no glycopeptide determinant, yet the model reads well above the national rate — "the signature of a class-level mapping that is too broad"</w:t>
            </w:r>
          </w:p>
        </w:tc>
      </w:tr>
    </w:tbl>
    <w:p>
      <w:pPr>
        <w:spacing w:after="120" w:line="276"/>
      </w:pPr>
      <w:r>
        <w:rPr>
          <w:rFonts w:ascii="Calibri" w:cs="Calibri" w:eastAsia="Calibri" w:hAnsi="Calibri"/>
          <w:color w:val="1A1A1A"/>
          <w:sz w:val="21"/>
          <w:szCs w:val="21"/>
        </w:rPr>
        <w:t xml:space="preserve">The remaining 15 flags are wide-but-expected gaps: the XDR S. Typhi, VRE and cfr-carrying strains are deliberately extreme, so reading far above a national average composed mostly of ordinary isolates is correct rather than an error.</w:t>
      </w:r>
    </w:p>
    <w:p>
      <w:pPr>
        <w:pStyle w:val="Heading2"/>
        <w:spacing w:after="120" w:before="260"/>
      </w:pPr>
      <w:r>
        <w:rPr>
          <w:rFonts w:ascii="Calibri" w:cs="Calibri" w:eastAsia="Calibri" w:hAnsi="Calibri"/>
          <w:b/>
          <w:bCs/>
          <w:color w:val="1A1A1A"/>
          <w:sz w:val="24"/>
          <w:szCs w:val="24"/>
        </w:rPr>
        <w:t xml:space="preserve">10.7 Coverage of India-relevant determinants</w:t>
      </w:r>
    </w:p>
    <w:p>
      <w:pPr>
        <w:spacing w:after="120" w:line="276"/>
      </w:pPr>
      <w:r>
        <w:rPr>
          <w:rFonts w:ascii="Calibri" w:cs="Calibri" w:eastAsia="Calibri" w:hAnsi="Calibri"/>
          <w:color w:val="1A1A1A"/>
          <w:sz w:val="21"/>
          <w:szCs w:val="21"/>
        </w:rPr>
        <w:t xml:space="preserve">Source: models/validation.json, key gene_coverage. ICMR molecular surveillance (369 E. coli + 374 K. pneumoniae, 7 centres) reports eight determinants. Module 3's reference set covers all eight.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2200"/>
        <w:gridCol w:w="42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Determinant</w:t>
            </w:r>
          </w:p>
        </w:tc>
        <w:tc>
          <w:tcPr>
            <w:tcW w:type="dxa" w:w="22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ICMR prevalence</w:t>
            </w:r>
          </w:p>
        </w:tc>
        <w:tc>
          <w:tcPr>
            <w:tcW w:type="dxa" w:w="42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In the reference set</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blaTEM-1</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54%</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blaCTX-M-15</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40%</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blaNDM-1</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27%</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blaOXA-48 group</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22%</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(see caveat)</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blaVIM</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19%</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 added because this check flagged it missing</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blaSHV</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16%</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 added because this check flagged it missing (see caveat)</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blaKPC-2</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15%</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blaIMP</w:t>
            </w:r>
          </w:p>
        </w:tc>
        <w:tc>
          <w:tcPr>
            <w:tcW w:type="dxa" w:w="22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15%</w:t>
            </w:r>
          </w:p>
        </w:tc>
        <w:tc>
          <w:tcPr>
            <w:tcW w:type="dxa" w:w="42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Yes — added because this check flagged it missing</w:t>
            </w:r>
          </w:p>
        </w:tc>
      </w:tr>
    </w:tbl>
    <w:p>
      <w:pPr>
        <w:spacing w:after="120" w:line="276"/>
      </w:pPr>
      <w:r>
        <w:rPr>
          <w:rFonts w:ascii="Calibri" w:cs="Calibri" w:eastAsia="Calibri" w:hAnsi="Calibri"/>
          <w:color w:val="1A1A1A"/>
          <w:sz w:val="21"/>
          <w:szCs w:val="21"/>
        </w:rPr>
        <w:t xml:space="preserve">blaVIM, blaSHV and blaIMP were added precisely because this check flagged them as missing; the reference set grew from 18 determinants to 21. Adding two further metallo-carbapenemases whose class profile overlaps blaNDM-1 made the classification task strictly harder, and the result was that macro-F1 held while exact match fell — per-class discrimination unchanged, all-twelve-labels-correct harder. That is the honest trade to report.</w:t>
      </w:r>
    </w:p>
    <w:p>
      <w:pPr>
        <w:spacing w:after="120" w:line="276"/>
      </w:pPr>
      <w:r>
        <w:rPr>
          <w:rFonts w:ascii="Calibri" w:cs="Calibri" w:eastAsia="Calibri" w:hAnsi="Calibri"/>
          <w:color w:val="1A1A1A"/>
          <w:sz w:val="21"/>
          <w:szCs w:val="21"/>
        </w:rPr>
        <w:t xml:space="preserve">Two rows remain approximations, both documented in the source: the OXA figure is for the OXA-1 group rather than OXA-48 specifically, and ICMR reports SHV at family level without separating narrow-spectrum from extended-spectrum variants, so the module models the extended-spectrum case and will over-call cephalosporin resistance for an isolate carrying only SHV-1.</w:t>
      </w:r>
    </w:p>
    <w:p>
      <w:pPr>
        <w:spacing w:after="120" w:line="276"/>
      </w:pPr>
      <w:r>
        <w:rPr>
          <w:rFonts w:ascii="Calibri" w:cs="Calibri" w:eastAsia="Calibri" w:hAnsi="Calibri"/>
          <w:b/>
          <w:bCs/>
          <w:color w:val="1A1A1A"/>
          <w:sz w:val="21"/>
          <w:szCs w:val="21"/>
        </w:rPr>
        <w:t xml:space="preserve">Note on interpretation: </w:t>
      </w:r>
      <w:r>
        <w:rPr>
          <w:rFonts w:ascii="Calibri" w:cs="Calibri" w:eastAsia="Calibri" w:hAnsi="Calibri"/>
          <w:color w:val="1A1A1A"/>
          <w:sz w:val="21"/>
          <w:szCs w:val="21"/>
        </w:rPr>
        <w:t xml:space="preserve">this check measures coverage of the determinants that matter in India. It is not a measure of predictive accuracy, and the demonstration strains' gene frequencies are a design choice rather than a sample of Indian isolates.</w:t>
      </w:r>
    </w:p>
    <w:p>
      <w:pPr>
        <w:pStyle w:val="Heading2"/>
        <w:spacing w:after="120" w:before="260"/>
      </w:pPr>
      <w:r>
        <w:rPr>
          <w:rFonts w:ascii="Calibri" w:cs="Calibri" w:eastAsia="Calibri" w:hAnsi="Calibri"/>
          <w:b/>
          <w:bCs/>
          <w:color w:val="1A1A1A"/>
          <w:sz w:val="24"/>
          <w:szCs w:val="24"/>
        </w:rPr>
        <w:t xml:space="preserve">10.8 Integration testing</w:t>
      </w:r>
    </w:p>
    <w:p>
      <w:pPr>
        <w:spacing w:after="120" w:line="276"/>
      </w:pPr>
      <w:r>
        <w:rPr>
          <w:rFonts w:ascii="Calibri" w:cs="Calibri" w:eastAsia="Calibri" w:hAnsi="Calibri"/>
          <w:color w:val="1A1A1A"/>
          <w:sz w:val="21"/>
          <w:szCs w:val="21"/>
        </w:rPr>
        <w:t xml:space="preserve">Source: python smoke_test.py — 57 end-to-end checks, all passing, no browser required. Module 3 contributes the majority of these, including one regression test per honesty guard: that an unscreened class is never reported as susceptible, that a rising series never projects below its last observation, that the worst blocking determinant governs a rescue verdict, that a too-short sequence returns NOT ASSESSED rather than CLEAN, that a clean screen claims no monetary saving, and that all 21 determinants carry complete mechanism and mobility annotations.</w:t>
      </w:r>
    </w:p>
    <w:p>
      <w:r>
        <w:br w:type="page"/>
      </w:r>
    </w:p>
    <w:p>
      <w:pPr>
        <w:pStyle w:val="Heading1"/>
        <w:spacing w:after="160" w:before="360"/>
      </w:pPr>
      <w:r>
        <w:rPr>
          <w:rFonts w:ascii="Calibri" w:cs="Calibri" w:eastAsia="Calibri" w:hAnsi="Calibri"/>
          <w:b/>
          <w:bCs/>
          <w:color w:val="1F4E79"/>
          <w:sz w:val="30"/>
          <w:szCs w:val="30"/>
        </w:rPr>
        <w:t xml:space="preserve">11. Known Limitations and Open Items</w:t>
      </w:r>
    </w:p>
    <w:p>
      <w:pPr>
        <w:spacing w:after="120" w:line="276"/>
      </w:pPr>
      <w:r>
        <w:rPr>
          <w:rFonts w:ascii="Calibri" w:cs="Calibri" w:eastAsia="Calibri" w:hAnsi="Calibri"/>
          <w:color w:val="1A1A1A"/>
          <w:sz w:val="21"/>
          <w:szCs w:val="21"/>
        </w:rPr>
        <w:t xml:space="preserve">These are the items the team believes a reviewer should probe hardest. They are listed here rather than distributed through the document so that none is easy to miss.</w:t>
      </w:r>
    </w:p>
    <w:p>
      <w:pPr>
        <w:pStyle w:val="Heading2"/>
        <w:spacing w:after="120" w:before="260"/>
      </w:pPr>
      <w:r>
        <w:rPr>
          <w:rFonts w:ascii="Calibri" w:cs="Calibri" w:eastAsia="Calibri" w:hAnsi="Calibri"/>
          <w:b/>
          <w:bCs/>
          <w:color w:val="1A1A1A"/>
          <w:sz w:val="24"/>
          <w:szCs w:val="24"/>
        </w:rPr>
        <w:t xml:space="preserve">11.1 Data limitations</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Limitation</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Consequence and current position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Isolate assemblies are constructed</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 determinants are real NCBI sequences, but the genomic background is generated and the training labels are assigned from the gene→class mapping rather than read from laboratory susceptibility testing. Absolute accuracy figures therefore reflect a cleaner signal than real sequencing data, which carries noise, contamination and incomplete assembly</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Bundled strains are not held out</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Their gene contents were chosen by the team, so §10.1's 100% is an integration check. The clade-held-out 0.904 ± 0.021 is the generalisation claim</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Non-susceptibility, not resistance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ICMR 2016+ reports percent susceptible; the complement includes CLSI Intermediate isolates. Salmonella Typhi figures in particular are mostly Intermediate rather than full resistance</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Surveillance covers 7 organisms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Organisms outside AMRSN — M. tuberculosis most notably — return UNKNOWN rather than a proxy figure</w:t>
            </w:r>
          </w:p>
        </w:tc>
      </w:tr>
    </w:tbl>
    <w:p>
      <w:pPr>
        <w:spacing w:after="120" w:line="276"/>
      </w:pPr>
      <w:r>
        <w:rPr>
          <w:rFonts w:ascii="Calibri" w:cs="Calibri" w:eastAsia="Calibri" w:hAnsi="Calibri"/>
          <w:color w:val="1A1A1A"/>
          <w:sz w:val="21"/>
          <w:szCs w:val="21"/>
        </w:rPr>
        <w:t xml:space="preserve">The declared route to removing the principal limitation is to replace the generated background with complete genomes from NCBI Pathogen Detection, which ship with laboratory-confirmed susceptibility results attached. That would make the isolates real end to end and provide genuine held-out labels instead of assigned ones.</w:t>
      </w:r>
    </w:p>
    <w:p>
      <w:pPr>
        <w:pStyle w:val="Heading2"/>
        <w:spacing w:after="120" w:before="260"/>
      </w:pPr>
      <w:r>
        <w:rPr>
          <w:rFonts w:ascii="Calibri" w:cs="Calibri" w:eastAsia="Calibri" w:hAnsi="Calibri"/>
          <w:b/>
          <w:bCs/>
          <w:color w:val="1A1A1A"/>
          <w:sz w:val="24"/>
          <w:szCs w:val="24"/>
        </w:rPr>
        <w:t xml:space="preserve">11.2 A stale figure in the source comments — please note</w:t>
      </w:r>
    </w:p>
    <w:p>
      <w:pPr>
        <w:spacing w:after="120" w:line="276"/>
      </w:pPr>
      <w:r>
        <w:rPr>
          <w:rFonts w:ascii="Calibri" w:cs="Calibri" w:eastAsia="Calibri" w:hAnsi="Calibri"/>
          <w:b/>
          <w:bCs/>
          <w:color w:val="9C4221"/>
          <w:sz w:val="21"/>
          <w:szCs w:val="21"/>
        </w:rPr>
        <w:t xml:space="preserve">The team flags this proactively. </w:t>
      </w:r>
      <w:r>
        <w:rPr>
          <w:rFonts w:ascii="Calibri" w:cs="Calibri" w:eastAsia="Calibri" w:hAnsi="Calibri"/>
          <w:color w:val="1A1A1A"/>
          <w:sz w:val="21"/>
          <w:szCs w:val="21"/>
        </w:rPr>
        <w:t xml:space="preserve">The threshold-selection commentary in trialsense/amr.py still quotes the pre-swap measurement — 1.45% very-major and 8.38% major error at the 0.35 threshold. Those were measured on the older synthetic cassettes. The current measured figures on real sequences are </w:t>
      </w:r>
      <w:r>
        <w:rPr>
          <w:rFonts w:ascii="Calibri" w:cs="Calibri" w:eastAsia="Calibri" w:hAnsi="Calibri"/>
          <w:b/>
          <w:bCs/>
          <w:color w:val="1A1A1A"/>
          <w:sz w:val="21"/>
          <w:szCs w:val="21"/>
        </w:rPr>
        <w:t xml:space="preserve">7.41% very-major and 3.65% major</w:t>
      </w:r>
      <w:r>
        <w:rPr>
          <w:rFonts w:ascii="Calibri" w:cs="Calibri" w:eastAsia="Calibri" w:hAnsi="Calibri"/>
          <w:color w:val="1A1A1A"/>
          <w:sz w:val="21"/>
          <w:szCs w:val="21"/>
        </w:rPr>
        <w:t xml:space="preserve">, as reported in §10.1 and as written to models/validation.json. The comment block has not been updated since the real-sequence swap and overstates the classifier's standing against the ~1.5% very-major benchmark that commercial susceptibility devices are held to. Section 10.1 of this report supersedes it.</w:t>
      </w:r>
    </w:p>
    <w:p>
      <w:pPr>
        <w:spacing w:after="120" w:line="276"/>
      </w:pPr>
      <w:r>
        <w:rPr>
          <w:rFonts w:ascii="Calibri" w:cs="Calibri" w:eastAsia="Calibri" w:hAnsi="Calibri"/>
          <w:color w:val="1A1A1A"/>
          <w:sz w:val="21"/>
          <w:szCs w:val="21"/>
        </w:rPr>
        <w:t xml:space="preserve">The consequence is material and should be stated plainly. On the current data, the shipped 0.35 threshold does not meet a 1.5% very-major-error bar for the classifier considered alone. The validation harness itself reports this honestly: its own sweep identifies 0.05 as the highest threshold reaching a 1.5% very-major rate, at the cost of a major-error rate of 18.5%.</w:t>
      </w:r>
    </w:p>
    <w:p>
      <w:pPr>
        <w:spacing w:after="120" w:line="276"/>
      </w:pPr>
      <w:r>
        <w:rPr>
          <w:rFonts w:ascii="Calibri" w:cs="Calibri" w:eastAsia="Calibri" w:hAnsi="Calibri"/>
          <w:color w:val="1A1A1A"/>
          <w:sz w:val="21"/>
          <w:szCs w:val="21"/>
        </w:rPr>
        <w:t xml:space="preserve">The team's substantive defence is that the classifier is not the deployed system. In the deployed pipeline the gene-detection layer eliminates every very-major error on the bundled strains (§10.1). But that defence rests on a set that is not held out, so the honest summary is: the deployed pipeline's very-major rate on genuinely held-out real-world isolates is not yet established. A reviewer's guidance on this point would be especially valuable.</w:t>
      </w:r>
    </w:p>
    <w:p>
      <w:pPr>
        <w:pStyle w:val="Heading2"/>
        <w:spacing w:after="120" w:before="260"/>
      </w:pPr>
      <w:r>
        <w:rPr>
          <w:rFonts w:ascii="Calibri" w:cs="Calibri" w:eastAsia="Calibri" w:hAnsi="Calibri"/>
          <w:b/>
          <w:bCs/>
          <w:color w:val="1A1A1A"/>
          <w:sz w:val="24"/>
          <w:szCs w:val="24"/>
        </w:rPr>
        <w:t xml:space="preserve">11.3 Modelling assumptions that are not fitted to data</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600"/>
        <w:gridCol w:w="6420"/>
      </w:tblGrid>
      <w:tr>
        <w:trPr>
          <w:tblHeader/>
        </w:trPr>
        <w:tc>
          <w:tcPr>
            <w:tcW w:type="dxa" w:w="26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Assumption</w:t>
            </w:r>
          </w:p>
        </w:tc>
        <w:tc>
          <w:tcPr>
            <w:tcW w:type="dxa" w:w="6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Status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5 cost, duration and success-probability defaults</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Order-of-magnitude figures reflecting the reported shape of anti-infective development (lower per-phase cost and higher technical success than oncology). No single published study is cited. Presented as adjustable user inputs with the disclaimer on the same screen</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6 spread multipliers (2.5 / 2.0 / 1.8 / 1.3 / 1.0)</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Reasoned orders of magnitude, not fitted to epidemiological data. The ordering is defensible; the absolute values are assumptions</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1 uncertainty cone</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Widens with projection distance by a fixed factor. Explicitly labelled "an honest cone, not a strict statistical confidence interval"</w:t>
            </w:r>
          </w:p>
        </w:tc>
      </w:tr>
      <w:tr>
        <w:trPr>
          <w:tblHeader w:val="false"/>
        </w:trPr>
        <w:tc>
          <w:tcPr>
            <w:tcW w:type="dxa" w:w="26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 1 verdict thresholds (75 / 65 / 45%) and the composite 60/40 split</w:t>
            </w:r>
          </w:p>
        </w:tc>
        <w:tc>
          <w:tcPr>
            <w:tcW w:type="dxa" w:w="6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Reasoned, transparent choices, not fitted to outcome data</w:t>
            </w:r>
          </w:p>
        </w:tc>
      </w:tr>
    </w:tbl>
    <w:p>
      <w:pPr>
        <w:pStyle w:val="Heading2"/>
        <w:spacing w:after="120" w:before="260"/>
      </w:pPr>
      <w:r>
        <w:rPr>
          <w:rFonts w:ascii="Calibri" w:cs="Calibri" w:eastAsia="Calibri" w:hAnsi="Calibri"/>
          <w:b/>
          <w:bCs/>
          <w:color w:val="1A1A1A"/>
          <w:sz w:val="24"/>
          <w:szCs w:val="24"/>
        </w:rPr>
        <w:t xml:space="preserve">11.4 Known modelling defects</w:t>
      </w:r>
    </w:p>
    <w:p>
      <w:pPr>
        <w:pStyle w:val="ListParagraph"/>
        <w:numPr>
          <w:ilvl w:val="0"/>
          <w:numId w:val="2"/>
        </w:numPr>
        <w:spacing w:after="80" w:line="276"/>
      </w:pPr>
      <w:r>
        <w:rPr>
          <w:rFonts w:ascii="Calibri" w:cs="Calibri" w:eastAsia="Calibri" w:hAnsi="Calibri"/>
          <w:color w:val="1A1A1A"/>
          <w:sz w:val="21"/>
          <w:szCs w:val="21"/>
        </w:rPr>
        <w:t xml:space="preserve">One measured over-call: S. aureus × glycopeptides reads 27.8% against an ICMR national figure of 0.0%, on an isolate carrying no glycopeptide determinant. The tool's own diagnosis is a class-level mapping that is too broad (§10.6). This is an open item, not a resolved one.</w:t>
      </w:r>
    </w:p>
    <w:p>
      <w:pPr>
        <w:pStyle w:val="ListParagraph"/>
        <w:numPr>
          <w:ilvl w:val="0"/>
          <w:numId w:val="2"/>
        </w:numPr>
        <w:spacing w:after="80" w:line="276"/>
      </w:pPr>
      <w:r>
        <w:rPr>
          <w:rFonts w:ascii="Calibri" w:cs="Calibri" w:eastAsia="Calibri" w:hAnsi="Calibri"/>
          <w:color w:val="1A1A1A"/>
          <w:sz w:val="21"/>
          <w:szCs w:val="21"/>
        </w:rPr>
        <w:t xml:space="preserve">An isolate carrying only SHV-1 will have its cephalosporin resistance over-called, because the module models the extended-spectrum variant that ICMR's family-level reporting does not separate.</w:t>
      </w:r>
    </w:p>
    <w:p>
      <w:pPr>
        <w:pStyle w:val="ListParagraph"/>
        <w:numPr>
          <w:ilvl w:val="0"/>
          <w:numId w:val="2"/>
        </w:numPr>
        <w:spacing w:after="80" w:line="276"/>
      </w:pPr>
      <w:r>
        <w:rPr>
          <w:rFonts w:ascii="Calibri" w:cs="Calibri" w:eastAsia="Calibri" w:hAnsi="Calibri"/>
          <w:color w:val="1A1A1A"/>
          <w:sz w:val="21"/>
          <w:szCs w:val="21"/>
        </w:rPr>
        <w:t xml:space="preserve">Forecast error reaches roughly 17 percentage points on the most volatile series over a four-year test horizon; projections to 2035 carry correspondingly wider real uncertainty than the displayed cone may suggest.</w:t>
      </w:r>
    </w:p>
    <w:p>
      <w:pPr>
        <w:pStyle w:val="Heading2"/>
        <w:spacing w:after="120" w:before="260"/>
      </w:pPr>
      <w:r>
        <w:rPr>
          <w:rFonts w:ascii="Calibri" w:cs="Calibri" w:eastAsia="Calibri" w:hAnsi="Calibri"/>
          <w:b/>
          <w:bCs/>
          <w:color w:val="1A1A1A"/>
          <w:sz w:val="24"/>
          <w:szCs w:val="24"/>
        </w:rPr>
        <w:t xml:space="preserve">11.5 Positioning</w:t>
      </w:r>
    </w:p>
    <w:p>
      <w:pPr>
        <w:spacing w:after="120" w:line="276"/>
      </w:pPr>
      <w:r>
        <w:rPr>
          <w:rFonts w:ascii="Calibri" w:cs="Calibri" w:eastAsia="Calibri" w:hAnsi="Calibri"/>
          <w:b/>
          <w:bCs/>
          <w:color w:val="1A1A1A"/>
          <w:sz w:val="21"/>
          <w:szCs w:val="21"/>
        </w:rPr>
        <w:t xml:space="preserve">Module 3 is an R&amp;D pre-screening and prioritisation aid for pharmaceutical research teams. </w:t>
      </w:r>
      <w:r>
        <w:rPr>
          <w:rFonts w:ascii="Calibri" w:cs="Calibri" w:eastAsia="Calibri" w:hAnsi="Calibri"/>
          <w:color w:val="1A1A1A"/>
          <w:sz w:val="21"/>
          <w:szCs w:val="21"/>
        </w:rPr>
        <w:t xml:space="preserve">It is not a diagnostic, not a clinical decision-support system, and not a patient-facing application. No output from it should be used to treat anyone, and it is not part of any regulatory submission. It is a first filter that sits before the checks that already happen, and it replaces none of them.</w:t>
      </w:r>
    </w:p>
    <w:p>
      <w:r>
        <w:br w:type="page"/>
      </w:r>
    </w:p>
    <w:p>
      <w:pPr>
        <w:pStyle w:val="Heading1"/>
        <w:spacing w:after="160" w:before="360"/>
      </w:pPr>
      <w:r>
        <w:rPr>
          <w:rFonts w:ascii="Calibri" w:cs="Calibri" w:eastAsia="Calibri" w:hAnsi="Calibri"/>
          <w:b/>
          <w:bCs/>
          <w:color w:val="1F4E79"/>
          <w:sz w:val="30"/>
          <w:szCs w:val="30"/>
        </w:rPr>
        <w:t xml:space="preserve">12. Conclusion</w:t>
      </w:r>
    </w:p>
    <w:p>
      <w:pPr>
        <w:spacing w:after="120" w:line="276"/>
      </w:pPr>
      <w:r>
        <w:rPr>
          <w:rFonts w:ascii="Calibri" w:cs="Calibri" w:eastAsia="Calibri" w:hAnsi="Calibri"/>
          <w:color w:val="1A1A1A"/>
          <w:sz w:val="21"/>
          <w:szCs w:val="21"/>
        </w:rPr>
        <w:t xml:space="preserve">Module 3 delivers a working two-layer AMR screening pipeline and six decision-support analyses built on top of it, running entirely offline on a laptop CPU with no licensed data and no paid API.</w:t>
      </w:r>
    </w:p>
    <w:p>
      <w:pPr>
        <w:pStyle w:val="Heading2"/>
        <w:spacing w:after="120" w:before="260"/>
      </w:pPr>
      <w:r>
        <w:rPr>
          <w:rFonts w:ascii="Calibri" w:cs="Calibri" w:eastAsia="Calibri" w:hAnsi="Calibri"/>
          <w:b/>
          <w:bCs/>
          <w:color w:val="1A1A1A"/>
          <w:sz w:val="24"/>
          <w:szCs w:val="24"/>
        </w:rPr>
        <w:t xml:space="preserve">12.1 What the evidence supports</w:t>
      </w:r>
    </w:p>
    <w:p>
      <w:pPr>
        <w:pStyle w:val="ListParagraph"/>
        <w:numPr>
          <w:ilvl w:val="0"/>
          <w:numId w:val="2"/>
        </w:numPr>
        <w:spacing w:after="80" w:line="276"/>
      </w:pPr>
      <w:r>
        <w:rPr>
          <w:rFonts w:ascii="Calibri" w:cs="Calibri" w:eastAsia="Calibri" w:hAnsi="Calibri"/>
          <w:color w:val="1A1A1A"/>
          <w:sz w:val="21"/>
          <w:szCs w:val="21"/>
        </w:rPr>
        <w:t xml:space="preserve">The core classifier generalises across species backgrounds: macro-F1 0.904 ± 0.021 across eight held-out clades, worst clade 0.883.</w:t>
      </w:r>
    </w:p>
    <w:p>
      <w:pPr>
        <w:pStyle w:val="ListParagraph"/>
        <w:numPr>
          <w:ilvl w:val="0"/>
          <w:numId w:val="2"/>
        </w:numPr>
        <w:spacing w:after="80" w:line="276"/>
      </w:pPr>
      <w:r>
        <w:rPr>
          <w:rFonts w:ascii="Calibri" w:cs="Calibri" w:eastAsia="Calibri" w:hAnsi="Calibri"/>
          <w:color w:val="1A1A1A"/>
          <w:sz w:val="21"/>
          <w:szCs w:val="21"/>
        </w:rPr>
        <w:t xml:space="preserve">The gene-detection layer is exact on real reference sequences — 34 of 34 determinants found across 12 strains with zero false positives — and overriding the classifier with it removes all five very-major errors on those strains without introducing any.</w:t>
      </w:r>
    </w:p>
    <w:p>
      <w:pPr>
        <w:pStyle w:val="ListParagraph"/>
        <w:numPr>
          <w:ilvl w:val="0"/>
          <w:numId w:val="2"/>
        </w:numPr>
        <w:spacing w:after="80" w:line="276"/>
      </w:pPr>
      <w:r>
        <w:rPr>
          <w:rFonts w:ascii="Calibri" w:cs="Calibri" w:eastAsia="Calibri" w:hAnsi="Calibri"/>
          <w:color w:val="1A1A1A"/>
          <w:sz w:val="21"/>
          <w:szCs w:val="21"/>
        </w:rPr>
        <w:t xml:space="preserve">Probability calibration was measured, not assumed: expected calibration error fell from 0.100 to 0.0145 and the major-error rate from 10.0% to 3.65%.</w:t>
      </w:r>
    </w:p>
    <w:p>
      <w:pPr>
        <w:pStyle w:val="ListParagraph"/>
        <w:numPr>
          <w:ilvl w:val="0"/>
          <w:numId w:val="2"/>
        </w:numPr>
        <w:spacing w:after="80" w:line="276"/>
      </w:pPr>
      <w:r>
        <w:rPr>
          <w:rFonts w:ascii="Calibri" w:cs="Calibri" w:eastAsia="Calibri" w:hAnsi="Calibri"/>
          <w:color w:val="1A1A1A"/>
          <w:sz w:val="21"/>
          <w:szCs w:val="21"/>
        </w:rPr>
        <w:t xml:space="preserve">Feature 1's forecaster was validated against reality on a genuine time split — fitted to ICMR data up to 2020, tested on 2021–2024 — achieving a mean absolute error of 4.93 percentage points across 184 predictions, with 85% of predictions within 10 points.</w:t>
      </w:r>
    </w:p>
    <w:p>
      <w:pPr>
        <w:pStyle w:val="ListParagraph"/>
        <w:numPr>
          <w:ilvl w:val="0"/>
          <w:numId w:val="2"/>
        </w:numPr>
        <w:spacing w:after="80" w:line="276"/>
      </w:pPr>
      <w:r>
        <w:rPr>
          <w:rFonts w:ascii="Calibri" w:cs="Calibri" w:eastAsia="Calibri" w:hAnsi="Calibri"/>
          <w:color w:val="1A1A1A"/>
          <w:sz w:val="21"/>
          <w:szCs w:val="21"/>
        </w:rPr>
        <w:t xml:space="preserve">Feature 4's open-world detector separates clean from spiked isolates with better than a 2× margin either side of its threshold: zero false positives across 12 clean strains, 7 of 7 planted elements found.</w:t>
      </w:r>
    </w:p>
    <w:p>
      <w:pPr>
        <w:pStyle w:val="ListParagraph"/>
        <w:numPr>
          <w:ilvl w:val="0"/>
          <w:numId w:val="2"/>
        </w:numPr>
        <w:spacing w:after="80" w:line="276"/>
      </w:pPr>
      <w:r>
        <w:rPr>
          <w:rFonts w:ascii="Calibri" w:cs="Calibri" w:eastAsia="Calibri" w:hAnsi="Calibri"/>
          <w:color w:val="1A1A1A"/>
          <w:sz w:val="21"/>
          <w:szCs w:val="21"/>
        </w:rPr>
        <w:t xml:space="preserve">Feature 3's orchestration was checked against real ICMR national figures rather than against itself, returning MOSTLY CONSISTENT with a single disclosed unexpected divergence.</w:t>
      </w:r>
    </w:p>
    <w:p>
      <w:pPr>
        <w:pStyle w:val="ListParagraph"/>
        <w:numPr>
          <w:ilvl w:val="0"/>
          <w:numId w:val="2"/>
        </w:numPr>
        <w:spacing w:after="80" w:line="276"/>
      </w:pPr>
      <w:r>
        <w:rPr>
          <w:rFonts w:ascii="Calibri" w:cs="Calibri" w:eastAsia="Calibri" w:hAnsi="Calibri"/>
          <w:color w:val="1A1A1A"/>
          <w:sz w:val="21"/>
          <w:szCs w:val="21"/>
        </w:rPr>
        <w:t xml:space="preserve">All eight India-relevant determinants reported by ICMR molecular surveillance are covered, three of them added because this very check flagged them missing.</w:t>
      </w:r>
    </w:p>
    <w:p>
      <w:pPr>
        <w:pStyle w:val="Heading2"/>
        <w:spacing w:after="120" w:before="260"/>
      </w:pPr>
      <w:r>
        <w:rPr>
          <w:rFonts w:ascii="Calibri" w:cs="Calibri" w:eastAsia="Calibri" w:hAnsi="Calibri"/>
          <w:b/>
          <w:bCs/>
          <w:color w:val="1A1A1A"/>
          <w:sz w:val="24"/>
          <w:szCs w:val="24"/>
        </w:rPr>
        <w:t xml:space="preserve">12.2 What the evidence does not yet support</w:t>
      </w:r>
    </w:p>
    <w:p>
      <w:pPr>
        <w:pStyle w:val="ListParagraph"/>
        <w:numPr>
          <w:ilvl w:val="0"/>
          <w:numId w:val="2"/>
        </w:numPr>
        <w:spacing w:after="80" w:line="276"/>
      </w:pPr>
      <w:r>
        <w:rPr>
          <w:rFonts w:ascii="Calibri" w:cs="Calibri" w:eastAsia="Calibri" w:hAnsi="Calibri"/>
          <w:color w:val="1A1A1A"/>
          <w:sz w:val="21"/>
          <w:szCs w:val="21"/>
        </w:rPr>
        <w:t xml:space="preserve">A very-major-error rate meeting the ~1.5% commercial-device benchmark on genuinely held-out real-world isolates. The classifier alone measures 7.41% at the shipped threshold; the deployed pipeline measures 0% but only on a set that is not held out (§11.2).</w:t>
      </w:r>
    </w:p>
    <w:p>
      <w:pPr>
        <w:pStyle w:val="ListParagraph"/>
        <w:numPr>
          <w:ilvl w:val="0"/>
          <w:numId w:val="2"/>
        </w:numPr>
        <w:spacing w:after="80" w:line="276"/>
      </w:pPr>
      <w:r>
        <w:rPr>
          <w:rFonts w:ascii="Calibri" w:cs="Calibri" w:eastAsia="Calibri" w:hAnsi="Calibri"/>
          <w:color w:val="1A1A1A"/>
          <w:sz w:val="21"/>
          <w:szCs w:val="21"/>
        </w:rPr>
        <w:t xml:space="preserve">Any claim of realised cost savings. Feature 5 quantifies an asymmetry under stated assumptions; it does not report a measured outcome, and the source refuses to let it be read that way.</w:t>
      </w:r>
    </w:p>
    <w:p>
      <w:pPr>
        <w:pStyle w:val="ListParagraph"/>
        <w:numPr>
          <w:ilvl w:val="0"/>
          <w:numId w:val="2"/>
        </w:numPr>
        <w:spacing w:after="80" w:line="276"/>
      </w:pPr>
      <w:r>
        <w:rPr>
          <w:rFonts w:ascii="Calibri" w:cs="Calibri" w:eastAsia="Calibri" w:hAnsi="Calibri"/>
          <w:color w:val="1A1A1A"/>
          <w:sz w:val="21"/>
          <w:szCs w:val="21"/>
        </w:rPr>
        <w:t xml:space="preserve">Performance on real sequencing data with its attendant noise, contamination and incomplete assembly. That requires the NCBI Pathogen Detection swap described in §11.1.</w:t>
      </w:r>
    </w:p>
    <w:p>
      <w:pPr>
        <w:pStyle w:val="Heading2"/>
        <w:spacing w:after="120" w:before="260"/>
      </w:pPr>
      <w:r>
        <w:rPr>
          <w:rFonts w:ascii="Calibri" w:cs="Calibri" w:eastAsia="Calibri" w:hAnsi="Calibri"/>
          <w:b/>
          <w:bCs/>
          <w:color w:val="1A1A1A"/>
          <w:sz w:val="24"/>
          <w:szCs w:val="24"/>
        </w:rPr>
        <w:t xml:space="preserve">12.3 The team's assessment</w:t>
      </w:r>
    </w:p>
    <w:p>
      <w:pPr>
        <w:spacing w:after="120" w:line="276"/>
      </w:pPr>
      <w:r>
        <w:rPr>
          <w:rFonts w:ascii="Calibri" w:cs="Calibri" w:eastAsia="Calibri" w:hAnsi="Calibri"/>
          <w:color w:val="1A1A1A"/>
          <w:sz w:val="21"/>
          <w:szCs w:val="21"/>
        </w:rPr>
        <w:t xml:space="preserve">The most defensible claim Module 3 makes is not any single accuracy figure. It is that each of the six features answers a question that existing AMR tools are not built to answer, and that each one is measured against something the team did not generate — real ICMR surveillance data, real NCBI reference sequences, real published national gene prevalences — rather than against itself.</w:t>
      </w:r>
    </w:p>
    <w:p>
      <w:pPr>
        <w:spacing w:after="120" w:line="276"/>
      </w:pPr>
      <w:r>
        <w:rPr>
          <w:rFonts w:ascii="Calibri" w:cs="Calibri" w:eastAsia="Calibri" w:hAnsi="Calibri"/>
          <w:color w:val="1A1A1A"/>
          <w:sz w:val="21"/>
          <w:szCs w:val="21"/>
        </w:rPr>
        <w:t xml:space="preserve">The most instructive result in the project's history is the one that made the numbers worse: replacing synthetic marker cassettes with real NCBI sequences dropped macro-F1 from 0.989 to 0.900 and exact match from 0.891 to 0.589. The swap was kept, because a lower figure measuring something real is more useful to a reviewer than a higher figure measuring an artefact. The team invites mentors to weigh this report on that same basis.</w:t>
      </w:r>
    </w:p>
    <w:p>
      <w:pPr>
        <w:pStyle w:val="Heading2"/>
        <w:spacing w:after="120" w:before="260"/>
      </w:pPr>
      <w:r>
        <w:rPr>
          <w:rFonts w:ascii="Calibri" w:cs="Calibri" w:eastAsia="Calibri" w:hAnsi="Calibri"/>
          <w:b/>
          <w:bCs/>
          <w:color w:val="1A1A1A"/>
          <w:sz w:val="24"/>
          <w:szCs w:val="24"/>
        </w:rPr>
        <w:t xml:space="preserve">12.4 Requested guidance from the reviewer</w:t>
      </w:r>
    </w:p>
    <w:p>
      <w:pPr>
        <w:spacing w:after="120" w:line="276"/>
      </w:pPr>
      <w:r>
        <w:rPr>
          <w:rFonts w:ascii="Calibri" w:cs="Calibri" w:eastAsia="Calibri" w:hAnsi="Calibri"/>
          <w:color w:val="1A1A1A"/>
          <w:sz w:val="21"/>
          <w:szCs w:val="21"/>
        </w:rPr>
        <w:t xml:space="preserve">Specific questions on which expert input would most change the module's direction:</w:t>
      </w:r>
    </w:p>
    <w:p>
      <w:pPr>
        <w:pStyle w:val="ListParagraph"/>
        <w:numPr>
          <w:ilvl w:val="0"/>
          <w:numId w:val="2"/>
        </w:numPr>
        <w:spacing w:after="80" w:line="276"/>
      </w:pPr>
      <w:r>
        <w:rPr>
          <w:rFonts w:ascii="Calibri" w:cs="Calibri" w:eastAsia="Calibri" w:hAnsi="Calibri"/>
          <w:b/>
          <w:bCs/>
          <w:color w:val="1A1A1A"/>
          <w:sz w:val="21"/>
          <w:szCs w:val="21"/>
        </w:rPr>
        <w:t xml:space="preserve">Threshold policy. </w:t>
      </w:r>
      <w:r>
        <w:rPr>
          <w:rFonts w:ascii="Calibri" w:cs="Calibri" w:eastAsia="Calibri" w:hAnsi="Calibri"/>
          <w:color w:val="1A1A1A"/>
          <w:sz w:val="21"/>
          <w:szCs w:val="21"/>
        </w:rPr>
        <w:t xml:space="preserve">Given a classifier very-major rate of 7.41% at 0.35 and a gene-detection layer that eliminates such errors where it fires, is the two-layer arrangement an acceptable basis for a screening claim, or should the shipped threshold move toward the sweep's 0.05 pick despite an 18.5% major-error cost? (§11.2)</w:t>
      </w:r>
    </w:p>
    <w:p>
      <w:pPr>
        <w:pStyle w:val="ListParagraph"/>
        <w:numPr>
          <w:ilvl w:val="0"/>
          <w:numId w:val="2"/>
        </w:numPr>
        <w:spacing w:after="80" w:line="276"/>
      </w:pPr>
      <w:r>
        <w:rPr>
          <w:rFonts w:ascii="Calibri" w:cs="Calibri" w:eastAsia="Calibri" w:hAnsi="Calibri"/>
          <w:b/>
          <w:bCs/>
          <w:color w:val="1A1A1A"/>
          <w:sz w:val="21"/>
          <w:szCs w:val="21"/>
        </w:rPr>
        <w:t xml:space="preserve">The glycopeptide over-call. </w:t>
      </w:r>
      <w:r>
        <w:rPr>
          <w:rFonts w:ascii="Calibri" w:cs="Calibri" w:eastAsia="Calibri" w:hAnsi="Calibri"/>
          <w:color w:val="1A1A1A"/>
          <w:sz w:val="21"/>
          <w:szCs w:val="21"/>
        </w:rPr>
        <w:t xml:space="preserve">Is narrowing the class-level mapping the right correction, or does this indicate a deeper problem in how class membership is assigned? (§11.4)</w:t>
      </w:r>
    </w:p>
    <w:p>
      <w:pPr>
        <w:pStyle w:val="ListParagraph"/>
        <w:numPr>
          <w:ilvl w:val="0"/>
          <w:numId w:val="2"/>
        </w:numPr>
        <w:spacing w:after="80" w:line="276"/>
      </w:pPr>
      <w:r>
        <w:rPr>
          <w:rFonts w:ascii="Calibri" w:cs="Calibri" w:eastAsia="Calibri" w:hAnsi="Calibri"/>
          <w:b/>
          <w:bCs/>
          <w:color w:val="1A1A1A"/>
          <w:sz w:val="21"/>
          <w:szCs w:val="21"/>
        </w:rPr>
        <w:t xml:space="preserve">Non-susceptibility versus resistance. </w:t>
      </w:r>
      <w:r>
        <w:rPr>
          <w:rFonts w:ascii="Calibri" w:cs="Calibri" w:eastAsia="Calibri" w:hAnsi="Calibri"/>
          <w:color w:val="1A1A1A"/>
          <w:sz w:val="21"/>
          <w:szCs w:val="21"/>
        </w:rPr>
        <w:t xml:space="preserve">Is treating 100 − %S as resistance acceptable for a forecasting input, given that it absorbs CLSI Intermediate isolates and particularly distorts Salmonella Typhi? (§5.2)</w:t>
      </w:r>
    </w:p>
    <w:p>
      <w:pPr>
        <w:pStyle w:val="ListParagraph"/>
        <w:numPr>
          <w:ilvl w:val="0"/>
          <w:numId w:val="2"/>
        </w:numPr>
        <w:spacing w:after="80" w:line="276"/>
      </w:pPr>
      <w:r>
        <w:rPr>
          <w:rFonts w:ascii="Calibri" w:cs="Calibri" w:eastAsia="Calibri" w:hAnsi="Calibri"/>
          <w:b/>
          <w:bCs/>
          <w:color w:val="1A1A1A"/>
          <w:sz w:val="21"/>
          <w:szCs w:val="21"/>
        </w:rPr>
        <w:t xml:space="preserve">Spread multipliers. </w:t>
      </w:r>
      <w:r>
        <w:rPr>
          <w:rFonts w:ascii="Calibri" w:cs="Calibri" w:eastAsia="Calibri" w:hAnsi="Calibri"/>
          <w:color w:val="1A1A1A"/>
          <w:sz w:val="21"/>
          <w:szCs w:val="21"/>
        </w:rPr>
        <w:t xml:space="preserve">Are there published epidemiological estimates that could replace the reasoned 2.5× / 2.0× / 1.8× / 1.3× values with fitted ones? (§8.6)</w:t>
      </w:r>
    </w:p>
    <w:p>
      <w:pPr>
        <w:pStyle w:val="ListParagraph"/>
        <w:numPr>
          <w:ilvl w:val="0"/>
          <w:numId w:val="2"/>
        </w:numPr>
        <w:spacing w:after="80" w:line="276"/>
      </w:pPr>
      <w:r>
        <w:rPr>
          <w:rFonts w:ascii="Calibri" w:cs="Calibri" w:eastAsia="Calibri" w:hAnsi="Calibri"/>
          <w:b/>
          <w:bCs/>
          <w:color w:val="1A1A1A"/>
          <w:sz w:val="21"/>
          <w:szCs w:val="21"/>
        </w:rPr>
        <w:t xml:space="preserve">Priority of next work. </w:t>
      </w:r>
      <w:r>
        <w:rPr>
          <w:rFonts w:ascii="Calibri" w:cs="Calibri" w:eastAsia="Calibri" w:hAnsi="Calibri"/>
          <w:color w:val="1A1A1A"/>
          <w:sz w:val="21"/>
          <w:szCs w:val="21"/>
        </w:rPr>
        <w:t xml:space="preserve">Is the NCBI Pathogen Detection swap (real genomes with laboratory-confirmed susceptibility labels) the correct highest-priority next step, or would a reviewer prioritise differently? (§11.1)</w:t>
      </w:r>
    </w:p>
    <w:p>
      <w:r>
        <w:br w:type="page"/>
      </w:r>
    </w:p>
    <w:p>
      <w:pPr>
        <w:pStyle w:val="Heading1"/>
        <w:spacing w:after="160" w:before="360"/>
      </w:pPr>
      <w:r>
        <w:rPr>
          <w:rFonts w:ascii="Calibri" w:cs="Calibri" w:eastAsia="Calibri" w:hAnsi="Calibri"/>
          <w:b/>
          <w:bCs/>
          <w:color w:val="1F4E79"/>
          <w:sz w:val="30"/>
          <w:szCs w:val="30"/>
        </w:rPr>
        <w:t xml:space="preserve">13. Mentor Remarks and Sign-off</w:t>
      </w:r>
    </w:p>
    <w:p>
      <w:pPr>
        <w:spacing w:after="120" w:line="276"/>
      </w:pPr>
      <w:r>
        <w:rPr>
          <w:rFonts w:ascii="Calibri" w:cs="Calibri" w:eastAsia="Calibri" w:hAnsi="Calibri"/>
          <w:color w:val="1A1A1A"/>
          <w:sz w:val="21"/>
          <w:szCs w:val="21"/>
        </w:rPr>
        <w:t xml:space="preserve">Reviewers are asked to record their assessment below. Sections 6, 10 and 11 are the intended focus.</w:t>
      </w:r>
    </w:p>
    <w:p>
      <w:pPr>
        <w:pStyle w:val="Heading2"/>
        <w:spacing w:after="120" w:before="260"/>
      </w:pPr>
      <w:r>
        <w:rPr>
          <w:rFonts w:ascii="Calibri" w:cs="Calibri" w:eastAsia="Calibri" w:hAnsi="Calibri"/>
          <w:b/>
          <w:bCs/>
          <w:color w:val="1A1A1A"/>
          <w:sz w:val="24"/>
          <w:szCs w:val="24"/>
        </w:rPr>
        <w:t xml:space="preserve">13.1 Section-level assessment</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3000"/>
        <w:gridCol w:w="1300"/>
        <w:gridCol w:w="1300"/>
        <w:gridCol w:w="3420"/>
      </w:tblGrid>
      <w:tr>
        <w:trPr>
          <w:tblHeader/>
        </w:trPr>
        <w:tc>
          <w:tcPr>
            <w:tcW w:type="dxa" w:w="30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Area</w:t>
            </w:r>
          </w:p>
        </w:tc>
        <w:tc>
          <w:tcPr>
            <w:tcW w:type="dxa" w:w="1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Sound</w:t>
            </w:r>
          </w:p>
        </w:tc>
        <w:tc>
          <w:tcPr>
            <w:tcW w:type="dxa" w:w="1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Needs work</w:t>
            </w:r>
          </w:p>
        </w:tc>
        <w:tc>
          <w:tcPr>
            <w:tcW w:type="dxa" w:w="34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Remarks</w:t>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Problem framing and objectives (§2–3)</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Models and datasets (§5)</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Real vs constructed boundary (§6)</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Core architecture and thresholds (§7)</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Features 1–6 (§8)</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Integration with Modules 1 and 2 (§9)</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Validation methodology (§10)</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30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Declared limitations (§11)</w:t>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34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bl>
    <w:p>
      <w:pPr>
        <w:pStyle w:val="Heading2"/>
        <w:spacing w:after="120" w:before="260"/>
      </w:pPr>
      <w:r>
        <w:rPr>
          <w:rFonts w:ascii="Calibri" w:cs="Calibri" w:eastAsia="Calibri" w:hAnsi="Calibri"/>
          <w:b/>
          <w:bCs/>
          <w:color w:val="1A1A1A"/>
          <w:sz w:val="24"/>
          <w:szCs w:val="24"/>
        </w:rPr>
        <w:t xml:space="preserve">13.2 General remarks</w:t>
      </w:r>
    </w:p>
    <w:tbl>
      <w:tblPr>
        <w:tblW w:type="dxa" w:w="9020"/>
        <w:tblBorders>
          <w:top w:val="none" w:color="FFFFFF" w:sz="0"/>
          <w:left w:val="none" w:color="FFFFFF" w:sz="0"/>
          <w:bottom w:val="single" w:color="AAB3BD" w:sz="4"/>
          <w:right w:val="none" w:color="FFFFFF" w:sz="0"/>
          <w:insideH w:val="single" w:color="AAB3BD" w:sz="4"/>
          <w:insideV w:val="none" w:color="FFFFFF" w:sz="0"/>
        </w:tblBorders>
      </w:tblPr>
      <w:tblGrid>
        <w:gridCol w:w="9020"/>
      </w:tblGrid>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bl>
    <w:p>
      <w:pPr>
        <w:spacing w:after="200"/>
      </w:pPr>
      <w:r>
        <w:t xml:space="preserve"/>
      </w:r>
    </w:p>
    <w:p>
      <w:pPr>
        <w:pStyle w:val="Heading2"/>
        <w:spacing w:after="120" w:before="260"/>
      </w:pPr>
      <w:r>
        <w:rPr>
          <w:rFonts w:ascii="Calibri" w:cs="Calibri" w:eastAsia="Calibri" w:hAnsi="Calibri"/>
          <w:b/>
          <w:bCs/>
          <w:color w:val="1A1A1A"/>
          <w:sz w:val="24"/>
          <w:szCs w:val="24"/>
        </w:rPr>
        <w:t xml:space="preserve">13.3 Response to the questions in §12.4</w:t>
      </w:r>
    </w:p>
    <w:tbl>
      <w:tblPr>
        <w:tblW w:type="dxa" w:w="9020"/>
        <w:tblBorders>
          <w:top w:val="none" w:color="FFFFFF" w:sz="0"/>
          <w:left w:val="none" w:color="FFFFFF" w:sz="0"/>
          <w:bottom w:val="single" w:color="AAB3BD" w:sz="4"/>
          <w:right w:val="none" w:color="FFFFFF" w:sz="0"/>
          <w:insideH w:val="single" w:color="AAB3BD" w:sz="4"/>
          <w:insideV w:val="none" w:color="FFFFFF" w:sz="0"/>
        </w:tblBorders>
      </w:tblPr>
      <w:tblGrid>
        <w:gridCol w:w="9020"/>
      </w:tblGrid>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r>
        <w:tc>
          <w:tcPr>
            <w:tcW w:type="dxa" w:w="9020"/>
            <w:tcMar>
              <w:top w:type="dxa" w:w="130"/>
              <w:bottom w:type="dxa" w:w="130"/>
            </w:tcMar>
          </w:tcPr>
          <w:p>
            <w:pPr>
              <w:spacing w:after="0"/>
            </w:pPr>
            <w:r>
              <w:rPr>
                <w:sz w:val="21"/>
                <w:szCs w:val="21"/>
              </w:rPr>
              <w:t xml:space="preserve"/>
            </w:r>
          </w:p>
        </w:tc>
      </w:tr>
    </w:tbl>
    <w:p>
      <w:pPr>
        <w:spacing w:after="240"/>
      </w:pPr>
      <w:r>
        <w:t xml:space="preserve"/>
      </w:r>
    </w:p>
    <w:p>
      <w:pPr>
        <w:pStyle w:val="Heading2"/>
        <w:spacing w:after="120" w:before="260"/>
      </w:pPr>
      <w:r>
        <w:rPr>
          <w:rFonts w:ascii="Calibri" w:cs="Calibri" w:eastAsia="Calibri" w:hAnsi="Calibri"/>
          <w:b/>
          <w:bCs/>
          <w:color w:val="1A1A1A"/>
          <w:sz w:val="24"/>
          <w:szCs w:val="24"/>
        </w:rPr>
        <w:t xml:space="preserve">13.4 Signature</w:t>
      </w:r>
    </w:p>
    <w:tbl>
      <w:tblPr>
        <w:tblW w:type="dxa" w:w="9020"/>
        <w:tblBorders>
          <w:top w:val="single" w:color="9AA5B1" w:sz="4"/>
          <w:left w:val="single" w:color="C7CED6" w:sz="4"/>
          <w:bottom w:val="single" w:color="9AA5B1" w:sz="4"/>
          <w:right w:val="single" w:color="C7CED6" w:sz="4"/>
          <w:insideH w:val="single" w:color="D7DDE4" w:sz="3"/>
          <w:insideV w:val="single" w:color="D7DDE4" w:sz="3"/>
        </w:tblBorders>
      </w:tblPr>
      <w:tblGrid>
        <w:gridCol w:w="2400"/>
        <w:gridCol w:w="3300"/>
        <w:gridCol w:w="1700"/>
        <w:gridCol w:w="1620"/>
      </w:tblGrid>
      <w:tr>
        <w:trPr>
          <w:tblHeader/>
        </w:trPr>
        <w:tc>
          <w:tcPr>
            <w:tcW w:type="dxa" w:w="24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Role</w:t>
            </w:r>
          </w:p>
        </w:tc>
        <w:tc>
          <w:tcPr>
            <w:tcW w:type="dxa" w:w="33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Name</w:t>
            </w:r>
          </w:p>
        </w:tc>
        <w:tc>
          <w:tcPr>
            <w:tcW w:type="dxa" w:w="170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Signature</w:t>
            </w:r>
          </w:p>
        </w:tc>
        <w:tc>
          <w:tcPr>
            <w:tcW w:type="dxa" w:w="1620"/>
            <w:shd w:fill="E8EDF3"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Date</w:t>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Mentor / Reviewer</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Designation</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Institution / Organisation</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r>
        <w:trPr>
          <w:tblHeader w:val="false"/>
        </w:trPr>
        <w:tc>
          <w:tcPr>
            <w:tcW w:type="dxa" w:w="24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Second reviewer (optional)</w:t>
            </w:r>
          </w:p>
        </w:tc>
        <w:tc>
          <w:tcPr>
            <w:tcW w:type="dxa" w:w="33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70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c>
          <w:tcPr>
            <w:tcW w:type="dxa" w:w="1620"/>
            <w:tcMar>
              <w:top w:type="dxa" w:w="70"/>
              <w:left w:type="dxa" w:w="110"/>
              <w:bottom w:type="dxa" w:w="70"/>
              <w:right w:type="dxa" w:w="110"/>
            </w:tcMar>
          </w:tcPr>
          <w:p>
            <w:pPr>
              <w:spacing w:after="0" w:line="252"/>
            </w:pPr>
            <w:r>
              <w:rPr>
                <w:rFonts w:ascii="Calibri" w:cs="Calibri" w:eastAsia="Calibri" w:hAnsi="Calibri"/>
                <w:b w:val="false"/>
                <w:bCs w:val="false"/>
                <w:color w:val="1A1A1A"/>
                <w:sz w:val="19"/>
                <w:szCs w:val="19"/>
              </w:rPr>
              <w:t xml:space="preserve"/>
            </w:r>
          </w:p>
        </w:tc>
      </w:tr>
    </w:tbl>
    <w:p>
      <w:pPr>
        <w:spacing w:after="200"/>
      </w:pPr>
      <w:r>
        <w:t xml:space="preserve"/>
      </w:r>
    </w:p>
    <w:p>
      <w:pPr>
        <w:spacing w:after="120" w:line="276"/>
      </w:pPr>
      <w:r>
        <w:rPr>
          <w:rFonts w:ascii="Calibri" w:cs="Calibri" w:eastAsia="Calibri" w:hAnsi="Calibri"/>
          <w:i/>
          <w:iCs/>
          <w:color w:val="5B6470"/>
          <w:sz w:val="19"/>
          <w:szCs w:val="19"/>
        </w:rPr>
        <w:t xml:space="preserve">Submitted by Team Varchasva — Hemanya Gillurkar, Himanshu Satpute, Hitaishi Bodele, Harsh Agarwal · Vishwakarma Institute of Technology, Pune · TrialSense, Segue 3.0.</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7"/>
        <w:szCs w:val="17"/>
      </w:rPr>
      <w:t xml:space="preserve">TrialSense · Module 3 Technical &amp; Validation Report · page </w:t>
    </w:r>
    <w:r>
      <w:rPr>
        <w:rFonts w:ascii="Calibri" w:cs="Calibri" w:eastAsia="Calibri" w:hAnsi="Calibri"/>
        <w:color w:val="5B6470"/>
        <w:sz w:val="17"/>
        <w:szCs w:val="17"/>
      </w:rPr>
      <w:fldChar w:fldCharType="begin"/>
      <w:instrText xml:space="preserve">PAGE</w:instrText>
      <w:fldChar w:fldCharType="separate"/>
      <w:fldChar w:fldCharType="end"/>
    </w:r>
    <w:r>
      <w:rPr>
        <w:rFonts w:ascii="Calibri" w:cs="Calibri" w:eastAsia="Calibri" w:hAnsi="Calibri"/>
        <w:color w:val="5B6470"/>
        <w:sz w:val="17"/>
        <w:szCs w:val="17"/>
      </w:rPr>
      <w:t xml:space="preserve"> of </w:t>
    </w:r>
    <w:r>
      <w:rPr>
        <w:rFonts w:ascii="Calibri" w:cs="Calibri" w:eastAsia="Calibri" w:hAnsi="Calibri"/>
        <w:color w:val="5B64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TrialSense Module 3 — Antimicrobial Resistance Intelligence: Technical &amp; Validation Report</dc:title>
  <dc:creator>Team Varchasva</dc:creator>
  <dc:description>Complete technical and validation report for Module 3 of TrialSense.</dc:description>
  <cp:lastModifiedBy>Un-named</cp:lastModifiedBy>
  <cp:revision>1</cp:revision>
  <dcterms:created xsi:type="dcterms:W3CDTF">2026-09-26T09:13:35.655Z</dcterms:created>
  <dcterms:modified xsi:type="dcterms:W3CDTF">2026-09-26T09:13:35.655Z</dcterms:modified>
</cp:coreProperties>
</file>

<file path=docProps/custom.xml><?xml version="1.0" encoding="utf-8"?>
<Properties xmlns="http://schemas.openxmlformats.org/officeDocument/2006/custom-properties" xmlns:vt="http://schemas.openxmlformats.org/officeDocument/2006/docPropsVTypes"/>
</file>