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0"/>
          <w:szCs w:val="40"/>
        </w:rPr>
        <w:t xml:space="preserve">Recommendations for Targeted Retention Strategies</w:t>
      </w:r>
    </w:p>
    <w:p>
      <w:pPr>
        <w:spacing w:after="80"/>
      </w:pPr>
      <w:r>
        <w:rPr>
          <w:color w:val="404040"/>
          <w:sz w:val="24"/>
          <w:szCs w:val="24"/>
        </w:rPr>
        <w:t xml:space="preserve">Based on segmentation and ANN results</w:t>
      </w:r>
    </w:p>
    <w:p>
      <w:pPr>
        <w:pBdr>
          <w:bottom w:val="single" w:color="1F4E79" w:sz="8" w:space="6"/>
        </w:pBdr>
        <w:spacing w:after="280"/>
      </w:pPr>
      <w:r>
        <w:rPr>
          <w:i/>
          <w:iCs/>
          <w:color w:val="595959"/>
          <w:sz w:val="20"/>
          <w:szCs w:val="20"/>
        </w:rPr>
        <w:t xml:space="preserve">Prepared by Ashrafun (Business Analyst) | Team 10 – ACS WILDA Internship, Customer Churn Analysis</w:t>
      </w:r>
    </w:p>
    <w:p>
      <w:pPr>
        <w:pStyle w:val="Heading1"/>
      </w:pPr>
      <w:r>
        <w:t xml:space="preserve">Recommendations for Targeted Retention Strategies</w:t>
      </w:r>
    </w:p>
    <w:p>
      <w:pPr>
        <w:spacing w:after="120"/>
      </w:pPr>
      <w:r>
        <w:t xml:space="preserve">The recommendations follow from the segment analysis and the churn factors. They are ordered by expected impact. Each one names who to target, what to do and how to measure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
        <w:gridCol w:w="1805"/>
        <w:gridCol w:w="1714"/>
        <w:gridCol w:w="2798"/>
        <w:gridCol w:w="2168"/>
      </w:tblGrid>
      <w:tr>
        <w:trPr>
          <w:tblHeader/>
        </w:trPr>
        <w:tc>
          <w:tcPr>
            <w:tcW w:type="dxa" w:w="5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w:t>
            </w:r>
          </w:p>
        </w:tc>
        <w:tc>
          <w:tcPr>
            <w:tcW w:type="dxa" w:w="18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Strategy</w:t>
            </w:r>
          </w:p>
        </w:tc>
        <w:tc>
          <w:tcPr>
            <w:tcW w:type="dxa" w:w="17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Target group</w:t>
            </w:r>
          </w:p>
        </w:tc>
        <w:tc>
          <w:tcPr>
            <w:tcW w:type="dxa" w:w="27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Why (evidence)</w:t>
            </w:r>
          </w:p>
        </w:tc>
        <w:tc>
          <w:tcPr>
            <w:tcW w:type="dxa" w:w="21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KPI</w:t>
            </w:r>
          </w:p>
        </w:tc>
      </w:tr>
      <w:t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First-year onboarding programme</w:t>
            </w:r>
          </w:p>
        </w:tc>
        <w:tc>
          <w:tcPr>
            <w:tcW w:type="dxa" w:w="17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customers in months 0–12</w:t>
            </w:r>
          </w:p>
        </w:tc>
        <w:tc>
          <w:tcPr>
            <w:tcW w:type="dxa" w:w="27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52.9% churn in first 6 months; tenure is 63% of model importance</w:t>
            </w:r>
          </w:p>
        </w:tc>
        <w:tc>
          <w:tcPr>
            <w:tcW w:type="dxa" w:w="21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Churn rate in months 0–12</w:t>
            </w:r>
          </w:p>
        </w:tc>
      </w:tr>
      <w:t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Plan-fit review and early loyalty offer</w:t>
            </w:r>
          </w:p>
        </w:tc>
        <w:tc>
          <w:tcPr>
            <w:tcW w:type="dxa" w:w="17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 High-Spend segment</w:t>
            </w:r>
          </w:p>
        </w:tc>
        <w:tc>
          <w:tcPr>
            <w:tcW w:type="dxa" w:w="27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31% of customers, ~59% of churners, 50% churn</w:t>
            </w:r>
          </w:p>
        </w:tc>
        <w:tc>
          <w:tcPr>
            <w:tcW w:type="dxa" w:w="21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Segment churn rate; offer take-up</w:t>
            </w:r>
          </w:p>
        </w:tc>
      </w:tr>
      <w:t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Model-driven risk outreach</w:t>
            </w:r>
          </w:p>
        </w:tc>
        <w:tc>
          <w:tcPr>
            <w:tcW w:type="dxa" w:w="17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ANN high-risk tier (≥ 66%)</w:t>
            </w:r>
          </w:p>
        </w:tc>
        <w:tc>
          <w:tcPr>
            <w:tcW w:type="dxa" w:w="27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56.8% of this tier churns vs 5.9% in low tier</w:t>
            </w:r>
          </w:p>
        </w:tc>
        <w:tc>
          <w:tcPr>
            <w:tcW w:type="dxa" w:w="21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Save rate vs control group</w:t>
            </w:r>
          </w:p>
        </w:tc>
      </w:tr>
      <w:t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Price-sensitivity programme</w:t>
            </w:r>
          </w:p>
        </w:tc>
        <w:tc>
          <w:tcPr>
            <w:tcW w:type="dxa" w:w="17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Customers paying $70+/month</w:t>
            </w:r>
          </w:p>
        </w:tc>
        <w:tc>
          <w:tcPr>
            <w:tcW w:type="dxa" w:w="27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33–37% churn; risk rises steadily with charges</w:t>
            </w:r>
          </w:p>
        </w:tc>
        <w:tc>
          <w:tcPr>
            <w:tcW w:type="dxa" w:w="21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Churn and ARPU in $70+ band</w:t>
            </w:r>
          </w:p>
        </w:tc>
      </w:tr>
      <w:t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Senior customer support</w:t>
            </w:r>
          </w:p>
        </w:tc>
        <w:tc>
          <w:tcPr>
            <w:tcW w:type="dxa" w:w="17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Senior citizens</w:t>
            </w:r>
          </w:p>
        </w:tc>
        <w:tc>
          <w:tcPr>
            <w:tcW w:type="dxa" w:w="27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41.7% churn vs 23.6%</w:t>
            </w:r>
          </w:p>
        </w:tc>
        <w:tc>
          <w:tcPr>
            <w:tcW w:type="dxa" w:w="21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Senior churn rate; satisfaction</w:t>
            </w:r>
          </w:p>
        </w:tc>
      </w:tr>
      <w:t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Household bundles</w:t>
            </w:r>
          </w:p>
        </w:tc>
        <w:tc>
          <w:tcPr>
            <w:tcW w:type="dxa" w:w="17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Customers without dependents</w:t>
            </w:r>
          </w:p>
        </w:tc>
        <w:tc>
          <w:tcPr>
            <w:tcW w:type="dxa" w:w="27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31.3% churn vs 15.5% with dependents</w:t>
            </w:r>
          </w:p>
        </w:tc>
        <w:tc>
          <w:tcPr>
            <w:tcW w:type="dxa" w:w="21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Bundle uptake; churn</w:t>
            </w:r>
          </w:p>
        </w:tc>
      </w:tr>
      <w:t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Relationship check-ins</w:t>
            </w:r>
          </w:p>
        </w:tc>
        <w:tc>
          <w:tcPr>
            <w:tcW w:type="dxa" w:w="17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Loyal, High-Spend segment</w:t>
            </w:r>
          </w:p>
        </w:tc>
        <w:tc>
          <w:tcPr>
            <w:tcW w:type="dxa" w:w="27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16% of churners but model catches only 7%</w:t>
            </w:r>
          </w:p>
        </w:tc>
        <w:tc>
          <w:tcPr>
            <w:tcW w:type="dxa" w:w="21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Segment churn rate</w:t>
            </w:r>
          </w:p>
        </w:tc>
      </w:tr>
      <w:t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Maintain, don’t over-contact</w:t>
            </w:r>
          </w:p>
        </w:tc>
        <w:tc>
          <w:tcPr>
            <w:tcW w:type="dxa" w:w="17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Loyal, Low-Spend segment</w:t>
            </w:r>
          </w:p>
        </w:tc>
        <w:tc>
          <w:tcPr>
            <w:tcW w:type="dxa" w:w="27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 churn; already stable</w:t>
            </w:r>
          </w:p>
        </w:tc>
        <w:tc>
          <w:tcPr>
            <w:tcW w:type="dxa" w:w="21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Cost per retained customer</w:t>
            </w:r>
          </w:p>
        </w:tc>
      </w:tr>
    </w:tbl>
    <w:p>
      <w:pPr>
        <w:spacing w:after="120"/>
      </w:pPr>
    </w:p>
    <w:p>
      <w:pPr>
        <w:pStyle w:val="Heading2"/>
      </w:pPr>
      <w:r>
        <w:t xml:space="preserve">1. First-year onboarding programme</w:t>
      </w:r>
    </w:p>
    <w:p>
      <w:pPr>
        <w:pStyle w:val="ListParagraph"/>
        <w:numPr>
          <w:ilvl w:val="0"/>
          <w:numId w:val="2"/>
        </w:numPr>
        <w:spacing w:after="60"/>
      </w:pPr>
      <w:r>
        <w:t xml:space="preserve">Welcome call in week 1, then check-ins at 30, 60 and 90 days to fix setup, billing or service problems early.</w:t>
      </w:r>
    </w:p>
    <w:p>
      <w:pPr>
        <w:pStyle w:val="ListParagraph"/>
        <w:numPr>
          <w:ilvl w:val="0"/>
          <w:numId w:val="2"/>
        </w:numPr>
        <w:spacing w:after="60"/>
      </w:pPr>
      <w:r>
        <w:t xml:space="preserve">A month-3 and month-6 review that confirms the plan still fits and points out features the customer is not using.</w:t>
      </w:r>
    </w:p>
    <w:p>
      <w:pPr>
        <w:pStyle w:val="ListParagraph"/>
        <w:numPr>
          <w:ilvl w:val="0"/>
          <w:numId w:val="2"/>
        </w:numPr>
        <w:spacing w:after="60"/>
      </w:pPr>
      <w:r>
        <w:t xml:space="preserve">Track churn by month of tenure so the team can see if the early-life curve is flattening.</w:t>
      </w:r>
    </w:p>
    <w:p>
      <w:pPr>
        <w:pStyle w:val="Heading2"/>
      </w:pPr>
      <w:r>
        <w:t xml:space="preserve">2. New, High-Spend segment: plan fit and early loyalty</w:t>
      </w:r>
    </w:p>
    <w:p>
      <w:pPr>
        <w:pStyle w:val="ListParagraph"/>
        <w:numPr>
          <w:ilvl w:val="0"/>
          <w:numId w:val="2"/>
        </w:numPr>
        <w:spacing w:after="60"/>
      </w:pPr>
      <w:r>
        <w:t xml:space="preserve">Proactively review whether these customers are on the right plan. Moving an over-provisioned customer to a cheaper plan that fits keeps the relationship; losing them loses all the revenue.</w:t>
      </w:r>
    </w:p>
    <w:p>
      <w:pPr>
        <w:pStyle w:val="ListParagraph"/>
        <w:numPr>
          <w:ilvl w:val="0"/>
          <w:numId w:val="2"/>
        </w:numPr>
        <w:spacing w:after="60"/>
      </w:pPr>
      <w:r>
        <w:t xml:space="preserve">Offer a time-limited loyalty discount or bonus (for example, data or a device credit) around months 3–6, when risk is highest.</w:t>
      </w:r>
    </w:p>
    <w:p>
      <w:pPr>
        <w:pStyle w:val="ListParagraph"/>
        <w:numPr>
          <w:ilvl w:val="0"/>
          <w:numId w:val="2"/>
        </w:numPr>
        <w:spacing w:after="60"/>
      </w:pPr>
      <w:r>
        <w:t xml:space="preserve">Make this segment the first priority for the retention team’s capacity.</w:t>
      </w:r>
    </w:p>
    <w:p>
      <w:pPr>
        <w:pStyle w:val="Heading2"/>
      </w:pPr>
      <w:r>
        <w:t xml:space="preserve">3. Put the ANN into the retention workflow</w:t>
      </w:r>
    </w:p>
    <w:p>
      <w:pPr>
        <w:pStyle w:val="ListParagraph"/>
        <w:numPr>
          <w:ilvl w:val="0"/>
          <w:numId w:val="2"/>
        </w:numPr>
        <w:spacing w:after="60"/>
      </w:pPr>
      <w:r>
        <w:t xml:space="preserve">Score all active customers monthly and assign the three risk tiers.</w:t>
      </w:r>
    </w:p>
    <w:p>
      <w:pPr>
        <w:pStyle w:val="ListParagraph"/>
        <w:numPr>
          <w:ilvl w:val="0"/>
          <w:numId w:val="2"/>
        </w:numPr>
        <w:spacing w:after="60"/>
      </w:pPr>
      <w:r>
        <w:rPr>
          <w:b/>
          <w:bCs/>
        </w:rPr>
        <w:t xml:space="preserve">High tier (≥ 66%)</w:t>
      </w:r>
      <w:r>
        <w:t xml:space="preserve">: personal outreach from a retention specialist with a tailored offer. </w:t>
      </w:r>
      <w:r>
        <w:rPr>
          <w:b/>
          <w:bCs/>
        </w:rPr>
        <w:t xml:space="preserve">Medium tier (30–66%)</w:t>
      </w:r>
      <w:r>
        <w:t xml:space="preserve">: lower-cost automated contact (email/SMS offers, satisfaction survey). </w:t>
      </w:r>
      <w:r>
        <w:rPr>
          <w:b/>
          <w:bCs/>
        </w:rPr>
        <w:t xml:space="preserve">Low tier (&lt; 30%)</w:t>
      </w:r>
      <w:r>
        <w:t xml:space="preserve">: business as usual.</w:t>
      </w:r>
    </w:p>
    <w:p>
      <w:pPr>
        <w:pStyle w:val="ListParagraph"/>
        <w:numPr>
          <w:ilvl w:val="0"/>
          <w:numId w:val="2"/>
        </w:numPr>
        <w:spacing w:after="60"/>
      </w:pPr>
      <w:r>
        <w:t xml:space="preserve">Keep a random control group in each tier that receives no contact, so the real effect of each action can be measured.</w:t>
      </w:r>
    </w:p>
    <w:p>
      <w:pPr>
        <w:pStyle w:val="ListParagraph"/>
        <w:numPr>
          <w:ilvl w:val="0"/>
          <w:numId w:val="2"/>
        </w:numPr>
        <w:spacing w:after="60"/>
      </w:pPr>
      <w:r>
        <w:t xml:space="preserve">If missed churners are more costly than wasted offers, lower the threshold to 0.5 (recall rises from 58% to 74%, precision falls from 57% to 48%).</w:t>
      </w:r>
    </w:p>
    <w:p>
      <w:pPr>
        <w:pStyle w:val="Heading2"/>
      </w:pPr>
      <w:r>
        <w:t xml:space="preserve">4. Price-sensitive, high-charge customers</w:t>
      </w:r>
    </w:p>
    <w:p>
      <w:pPr>
        <w:pStyle w:val="ListParagraph"/>
        <w:numPr>
          <w:ilvl w:val="0"/>
          <w:numId w:val="2"/>
        </w:numPr>
        <w:spacing w:after="60"/>
      </w:pPr>
      <w:r>
        <w:t xml:space="preserve">Run a bill review for customers paying $70+ per month, especially those in their first two years.</w:t>
      </w:r>
    </w:p>
    <w:p>
      <w:pPr>
        <w:pStyle w:val="ListParagraph"/>
        <w:numPr>
          <w:ilvl w:val="0"/>
          <w:numId w:val="2"/>
        </w:numPr>
        <w:spacing w:after="60"/>
      </w:pPr>
      <w:r>
        <w:t xml:space="preserve">Offer price-lock guarantees or bundle discounts rather than straight price cuts, so revenue is protected.</w:t>
      </w:r>
    </w:p>
    <w:p>
      <w:pPr>
        <w:pStyle w:val="ListParagraph"/>
        <w:numPr>
          <w:ilvl w:val="0"/>
          <w:numId w:val="2"/>
        </w:numPr>
        <w:spacing w:after="60"/>
      </w:pPr>
      <w:r>
        <w:t xml:space="preserve">Be careful with upselling low-spend customers: higher charges are linked with higher churn, so upsells should add clear value.</w:t>
      </w:r>
    </w:p>
    <w:p>
      <w:pPr>
        <w:pStyle w:val="Heading2"/>
      </w:pPr>
      <w:r>
        <w:t xml:space="preserve">5–8. Smaller, targeted programmes</w:t>
      </w:r>
    </w:p>
    <w:p>
      <w:pPr>
        <w:pStyle w:val="ListParagraph"/>
        <w:numPr>
          <w:ilvl w:val="0"/>
          <w:numId w:val="2"/>
        </w:numPr>
        <w:spacing w:after="60"/>
      </w:pPr>
      <w:r>
        <w:rPr>
          <w:b/>
          <w:bCs/>
        </w:rPr>
        <w:t xml:space="preserve">Senior citizens:</w:t>
      </w:r>
      <w:r>
        <w:t xml:space="preserve"> a dedicated support line, simpler plan options and in-store or phone setup help.</w:t>
      </w:r>
    </w:p>
    <w:p>
      <w:pPr>
        <w:pStyle w:val="ListParagraph"/>
        <w:numPr>
          <w:ilvl w:val="0"/>
          <w:numId w:val="2"/>
        </w:numPr>
        <w:spacing w:after="60"/>
      </w:pPr>
      <w:r>
        <w:rPr>
          <w:b/>
          <w:bCs/>
        </w:rPr>
        <w:t xml:space="preserve">Customers without dependents:</w:t>
      </w:r>
      <w:r>
        <w:t xml:space="preserve"> household or multi-service bundles, which raise the value of staying.</w:t>
      </w:r>
    </w:p>
    <w:p>
      <w:pPr>
        <w:pStyle w:val="ListParagraph"/>
        <w:numPr>
          <w:ilvl w:val="0"/>
          <w:numId w:val="2"/>
        </w:numPr>
        <w:spacing w:after="60"/>
      </w:pPr>
      <w:r>
        <w:rPr>
          <w:b/>
          <w:bCs/>
        </w:rPr>
        <w:t xml:space="preserve">Loyal, High-Spend:</w:t>
      </w:r>
      <w:r>
        <w:t xml:space="preserve"> the model under-detects churn here, so use account-manager check-ins, anniversary rewards and priority service rather than relying on model scores.</w:t>
      </w:r>
    </w:p>
    <w:p>
      <w:pPr>
        <w:pStyle w:val="ListParagraph"/>
        <w:numPr>
          <w:ilvl w:val="0"/>
          <w:numId w:val="2"/>
        </w:numPr>
        <w:spacing w:after="60"/>
      </w:pPr>
      <w:r>
        <w:rPr>
          <w:b/>
          <w:bCs/>
        </w:rPr>
        <w:t xml:space="preserve">Loyal, Low-Spend:</w:t>
      </w:r>
      <w:r>
        <w:t xml:space="preserve"> keep service quality steady and avoid unnecessary contact; these customers are already stable.</w:t>
      </w:r>
    </w:p>
    <w:p>
      <w:pPr>
        <w:pStyle w:val="Heading2"/>
      </w:pPr>
      <w:r>
        <w:t xml:space="preserve">A note on contracts</w:t>
      </w:r>
    </w:p>
    <w:p>
      <w:pPr>
        <w:spacing w:after="120"/>
      </w:pPr>
      <w:r>
        <w:t xml:space="preserve">Pushing customers onto longer contracts is a common retention tactic, but in this dataset contract type has almost no link to churn. We recommend a small pilot with a control group before investing heavily in contract-upgrade campaigns.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Team 10 – Customer Churn Analysis | Retention Recommendations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2E2E"/>
      <w:sz w:val="25"/>
      <w:szCs w:val="25"/>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Retention Recommendations</dc:title>
  <dc:creator>Team 10</dc:creator>
  <cp:lastModifiedBy>Un-named</cp:lastModifiedBy>
  <cp:revision>1</cp:revision>
  <dcterms:created xsi:type="dcterms:W3CDTF">2026-10-25T06:29:11.713Z</dcterms:created>
  <dcterms:modified xsi:type="dcterms:W3CDTF">2026-10-25T06:29:11.713Z</dcterms:modified>
</cp:coreProperties>
</file>

<file path=docProps/custom.xml><?xml version="1.0" encoding="utf-8"?>
<Properties xmlns="http://schemas.openxmlformats.org/officeDocument/2006/custom-properties" xmlns:vt="http://schemas.openxmlformats.org/officeDocument/2006/docPropsVTypes"/>
</file>