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Limitations and Proposed Solutions</w:t>
      </w:r>
    </w:p>
    <w:p>
      <w:pPr>
        <w:spacing w:after="80"/>
      </w:pPr>
      <w:r>
        <w:rPr>
          <w:color w:val="404040"/>
          <w:sz w:val="24"/>
          <w:szCs w:val="24"/>
        </w:rPr>
        <w:t xml:space="preserve">Stage 3 – Final Report</w:t>
      </w:r>
    </w:p>
    <w:p>
      <w:pPr>
        <w:pBdr>
          <w:bottom w:val="single" w:color="1F4E79" w:sz="8" w:space="6"/>
        </w:pBdr>
        <w:spacing w:after="280"/>
      </w:pPr>
      <w:r>
        <w:rPr>
          <w:i/>
          <w:iCs/>
          <w:color w:val="595959"/>
          <w:sz w:val="20"/>
          <w:szCs w:val="20"/>
        </w:rPr>
        <w:t xml:space="preserve">Prepared by Bhavin (Project Manager) | Team 10 – ACS WILDA Internship, Customer Churn Analysis</w:t>
      </w:r>
    </w:p>
    <w:p>
      <w:pPr>
        <w:pStyle w:val="Heading1"/>
      </w:pPr>
      <w:r>
        <w:t xml:space="preserve">Limitations, Challenges and Proposed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"/>
        <w:gridCol w:w="2617"/>
        <w:gridCol w:w="2617"/>
        <w:gridCol w:w="3251"/>
      </w:tblGrid>
      <w:tr>
        <w:trPr>
          <w:tblHeader/>
        </w:trP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Limitation / challenge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Proposed solution</w:t>
            </w:r>
          </w:p>
        </w:tc>
      </w:tr>
      <w:t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Few features.</w:t>
            </w:r>
            <w:r>
              <w:rPr>
                <w:sz w:val="19"/>
                <w:szCs w:val="19"/>
              </w:rPr>
              <w:t xml:space="preserve"> Only 10 customer variables; no usage, support-ticket, billing-history, payment-method or complaint data.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Caps performance at about 0.81 AUC; ANN performs no better than logistic regression.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behavioural and service data (support calls, payment method, total charges, usage trends). Retrain and re-compare ANN vs simpler models.</w:t>
            </w:r>
          </w:p>
        </w:tc>
      </w:tr>
      <w:t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Class imbalance</w:t>
            </w:r>
            <w:r>
              <w:rPr>
                <w:sz w:val="19"/>
                <w:szCs w:val="19"/>
              </w:rPr>
              <w:t xml:space="preserve"> (26.5% churn).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Without correction the model predicts “no churn” for almost everyone.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balanced class weights and tuned the threshold on validation data. Could also try SMOTE or focal loss.</w:t>
            </w:r>
          </w:p>
        </w:tc>
      </w:tr>
      <w:t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Probabilities are not calibrated.</w:t>
            </w:r>
            <w:r>
              <w:rPr>
                <w:sz w:val="19"/>
                <w:szCs w:val="19"/>
              </w:rPr>
              <w:t xml:space="preserve"> Class weighting raises scores (mean predicted 43% vs 26.5% actual).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Scores rank customers well but should not be read as literal probabilities.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Apply Platt or isotonic calibration on the validation set before using scores for financial forecasts.</w:t>
            </w:r>
          </w:p>
        </w:tc>
      </w:tr>
      <w:t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Precision–recall trade-off.</w:t>
            </w:r>
            <w:r>
              <w:rPr>
                <w:sz w:val="19"/>
                <w:szCs w:val="19"/>
              </w:rPr>
              <w:t xml:space="preserve"> Catching more churners means more false alarms.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“right” threshold depends on business costs.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 the threshold from offer cost vs customer lifetime value; 0.66 (balanced) and 0.5 (high recall) are both documented.</w:t>
            </w:r>
          </w:p>
        </w:tc>
      </w:tr>
      <w:t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Unusual contract result.</w:t>
            </w:r>
            <w:r>
              <w:rPr>
                <w:sz w:val="19"/>
                <w:szCs w:val="19"/>
              </w:rPr>
              <w:t xml:space="preserve"> Contract type barely affects churn, unlike most telecom data.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Possible that the dataset is simplified or synthetic; conclusions may not transfer.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Validate on the company’s full customer records before acting on contract-related findings.</w:t>
            </w:r>
          </w:p>
        </w:tc>
      </w:tr>
      <w:t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Duplicate rows</w:t>
            </w:r>
            <w:r>
              <w:rPr>
                <w:sz w:val="19"/>
                <w:szCs w:val="19"/>
              </w:rPr>
              <w:t xml:space="preserve"> (302 exact duplicates) kept, as there is no customer ID.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Some identical rows may sit in both train and test, slightly flattering results.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 a customer ID; de-duplicate and re-evaluate.</w:t>
            </w:r>
          </w:p>
        </w:tc>
      </w:tr>
      <w:t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leakage from Stage 2.</w:t>
            </w:r>
            <w:r>
              <w:rPr>
                <w:sz w:val="19"/>
                <w:szCs w:val="19"/>
              </w:rPr>
              <w:t xml:space="preserve"> The scaler and K-Means were fitted on all rows.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Small optimistic bias.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Scaler now re-fitted on training rows only (fixed in Stage 3). K-Means should also be refitted on training rows; impact is minimal since segment adds ~0.5% importance.</w:t>
            </w:r>
          </w:p>
        </w:tc>
      </w:tr>
      <w:t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Blind spot in Loyal, High-Spend.</w:t>
            </w:r>
            <w:r>
              <w:rPr>
                <w:sz w:val="19"/>
                <w:szCs w:val="19"/>
              </w:rPr>
              <w:t xml:space="preserve"> 16% of churners but only 6.7% caught.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Model-led outreach misses these customers.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Segment-specific thresholds or a separate model; add usage/satisfaction data; use relationship-based retention meanwhile.</w:t>
            </w:r>
          </w:p>
        </w:tc>
      </w:tr>
      <w:t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ANN is a “black box”.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Harder to explain individual predictions to the business.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permutation importance and effect profiles. SHAP values could explain individual customers.</w:t>
            </w:r>
          </w:p>
        </w:tc>
      </w:tr>
      <w:t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Static snapshot.</w:t>
            </w:r>
            <w:r>
              <w:rPr>
                <w:sz w:val="19"/>
                <w:szCs w:val="19"/>
              </w:rPr>
              <w:t xml:space="preserve"> No dates, so no time-based validation or drift tracking.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 may degrade as prices and products change.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Retrain quarterly; monitor AUC and churn rate by tier; validate on a later time period.</w:t>
            </w:r>
          </w:p>
        </w:tc>
      </w:tr>
      <w:t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Reproducibility across environments.</w:t>
            </w:r>
            <w:r>
              <w:rPr>
                <w:sz w:val="19"/>
                <w:szCs w:val="19"/>
              </w:rPr>
              <w:t xml:space="preserve"> TensorFlow results can vary slightly by version and hardware.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Teammates may see small metric differences.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Seeds fixed, deterministic ops enabled, versions pinned in requirements.txt; trained model file is committed.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Project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Keeping stages consistent.</w:t>
      </w:r>
      <w:r>
        <w:t xml:space="preserve"> Stage 3 depends on Stage 2 outputs. We rebuilt the exact Stage 2 test split and added an automatic check so all members work from the same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Choosing what “good” means.</w:t>
      </w:r>
      <w:r>
        <w:t xml:space="preserve"> Accuracy looked acceptable but hid the fact that a naive model catches no churners. The team agreed to judge the model on AUC, recall, precision and F1.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Avoiding test-set leakage.</w:t>
      </w:r>
      <w:r>
        <w:t xml:space="preserve"> Architecture and threshold choices were made on a separate validation set so the test result is a fair estimate.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Turning model output into actions.</w:t>
      </w:r>
      <w:r>
        <w:t xml:space="preserve"> Raw probabilities were hard to act on, so we converted them into three risk tiers linked to specific retention actions.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Team 10 – Customer Churn Analysis | Limitations |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2E2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Limitations</dc:title>
  <dc:creator>Team 10</dc:creator>
  <cp:lastModifiedBy>Un-named</cp:lastModifiedBy>
  <cp:revision>1</cp:revision>
  <dcterms:created xsi:type="dcterms:W3CDTF">2026-10-25T06:29:11.734Z</dcterms:created>
  <dcterms:modified xsi:type="dcterms:W3CDTF">2026-10-25T06:29:11.734Z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