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ANN Model Architecture, Training and Evaluation</w:t>
      </w:r>
    </w:p>
    <w:p>
      <w:pPr>
        <w:spacing w:after="80"/>
      </w:pPr>
      <w:r>
        <w:rPr>
          <w:color w:val="404040"/>
          <w:sz w:val="24"/>
          <w:szCs w:val="24"/>
        </w:rPr>
        <w:t xml:space="preserve">Stage 3 – Predictive Modeling</w:t>
      </w:r>
    </w:p>
    <w:p>
      <w:pPr>
        <w:pBdr>
          <w:bottom w:val="single" w:color="1F4E79" w:sz="8" w:space="6"/>
        </w:pBdr>
        <w:spacing w:after="280"/>
      </w:pPr>
      <w:r>
        <w:rPr>
          <w:i/>
          <w:iCs/>
          <w:color w:val="595959"/>
          <w:sz w:val="20"/>
          <w:szCs w:val="20"/>
        </w:rPr>
        <w:t xml:space="preserve">Prepared by Harsha Jumrani (Data Analyst – Predictive Modelling) | Team 10 – ACS WILDA Internship, Customer Churn Analysis</w:t>
      </w:r>
    </w:p>
    <w:p>
      <w:pPr>
        <w:pStyle w:val="Heading1"/>
      </w:pPr>
      <w:r>
        <w:t xml:space="preserve">ANN Architecture</w:t>
      </w:r>
    </w:p>
    <w:p>
      <w:pPr>
        <w:spacing w:after="120"/>
      </w:pPr>
      <w:r>
        <w:t xml:space="preserve">The model is a fully connected feed-forward neural network (multilayer perceptron) built with TensorFlow/Keras. It takes 14 customer features as input and outputs a single churn probability between 0 and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812"/>
        <w:gridCol w:w="1173"/>
        <w:gridCol w:w="3429"/>
        <w:gridCol w:w="1266"/>
      </w:tblGrid>
      <w:tr>
        <w:trPr>
          <w:tblHeader/>
        </w:trPr>
        <w:tc>
          <w:tcPr>
            <w:tcW w:type="dxa" w:w="23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Layer</w:t>
            </w:r>
          </w:p>
        </w:tc>
        <w:tc>
          <w:tcPr>
            <w:tcW w:type="dxa" w:w="8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Units</w:t>
            </w:r>
          </w:p>
        </w:tc>
        <w:tc>
          <w:tcPr>
            <w:tcW w:type="dxa" w:w="11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Activation</w:t>
            </w:r>
          </w:p>
        </w:tc>
        <w:tc>
          <w:tcPr>
            <w:tcW w:type="dxa" w:w="34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Details</w:t>
            </w:r>
          </w:p>
        </w:tc>
        <w:tc>
          <w:tcPr>
            <w:tcW w:type="dxa" w:w="12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Parameters</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Input (customer_features)</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Scaled numeric + binary + segment flags</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Hidden layer 1 (hidden_1)</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64</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ReLU</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He-normal initialisation, L2 = 0.0001</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960</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Dropout 1</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Rate 0.3 (training only)</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Hidden layer 2 (hidden_2)</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32</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ReLU</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He-normal initialisation, L2 = 0.0001</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2,080</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Dropout 2</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Rate 0.3 (training only)</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Output (churn_probability)</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Sigmoid</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Probability that the customer churns</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33</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Total</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3,073</w:t>
            </w:r>
          </w:p>
        </w:tc>
      </w:tr>
    </w:tbl>
    <w:p>
      <w:pPr>
        <w:spacing w:after="120"/>
      </w:pPr>
    </w:p>
    <w:p>
      <w:pPr>
        <w:pStyle w:val="Heading2"/>
      </w:pPr>
      <w:r>
        <w:t xml:space="preserve">Why these choices</w:t>
      </w:r>
    </w:p>
    <w:p>
      <w:pPr>
        <w:pStyle w:val="ListParagraph"/>
        <w:numPr>
          <w:ilvl w:val="0"/>
          <w:numId w:val="2"/>
        </w:numPr>
        <w:spacing w:after="60"/>
      </w:pPr>
      <w:r>
        <w:rPr>
          <w:b/>
          <w:bCs/>
        </w:rPr>
        <w:t xml:space="preserve">ReLU hidden layers</w:t>
      </w:r>
      <w:r>
        <w:t xml:space="preserve"> learn non-linear patterns (for example, risk falling quickly in the first year and then levelling off) and train quickly without vanishing gradients.</w:t>
      </w:r>
    </w:p>
    <w:p>
      <w:pPr>
        <w:pStyle w:val="ListParagraph"/>
        <w:numPr>
          <w:ilvl w:val="0"/>
          <w:numId w:val="2"/>
        </w:numPr>
        <w:spacing w:after="60"/>
      </w:pPr>
      <w:r>
        <w:rPr>
          <w:b/>
          <w:bCs/>
        </w:rPr>
        <w:t xml:space="preserve">Sigmoid output with binary cross-entropy loss</w:t>
      </w:r>
      <w:r>
        <w:t xml:space="preserve"> is the standard set-up for a yes/no target and gives a probability that can be ranked and thresholded.</w:t>
      </w:r>
    </w:p>
    <w:p>
      <w:pPr>
        <w:pStyle w:val="ListParagraph"/>
        <w:numPr>
          <w:ilvl w:val="0"/>
          <w:numId w:val="2"/>
        </w:numPr>
        <w:spacing w:after="60"/>
      </w:pPr>
      <w:r>
        <w:rPr>
          <w:b/>
          <w:bCs/>
        </w:rPr>
        <w:t xml:space="preserve">Dropout (0.3) and a small L2 penalty</w:t>
      </w:r>
      <w:r>
        <w:t xml:space="preserve"> reduce overfitting. With only 14 inputs and about 4,800 training rows, an unregularised network starts to memorise the training data within a few epochs.</w:t>
      </w:r>
    </w:p>
    <w:p>
      <w:pPr>
        <w:pStyle w:val="ListParagraph"/>
        <w:numPr>
          <w:ilvl w:val="0"/>
          <w:numId w:val="2"/>
        </w:numPr>
        <w:spacing w:after="60"/>
      </w:pPr>
      <w:r>
        <w:rPr>
          <w:b/>
          <w:bCs/>
        </w:rPr>
        <w:t xml:space="preserve">He-normal initialisation</w:t>
      </w:r>
      <w:r>
        <w:t xml:space="preserve"> suits ReLU layers and gives stable early training.</w:t>
      </w:r>
    </w:p>
    <w:p>
      <w:pPr>
        <w:pStyle w:val="Heading2"/>
      </w:pPr>
      <w:r>
        <w:t xml:space="preserve">How the architecture was optimised</w:t>
      </w:r>
    </w:p>
    <w:p>
      <w:pPr>
        <w:spacing w:after="120"/>
      </w:pPr>
      <w:r>
        <w:t xml:space="preserve">Four candidate architectures were trained with the same settings and compared on the </w:t>
      </w:r>
      <w:r>
        <w:rPr>
          <w:b/>
          <w:bCs/>
        </w:rPr>
        <w:t xml:space="preserve">validation set</w:t>
      </w:r>
      <w:r>
        <w:t xml:space="preserve"> only (the test set was not used for this choice). The best validation ROC AUC was selected. If a simpler model came within 0.002 AUC of the best, the simpler one would have been preferred.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1263"/>
        <w:gridCol w:w="1444"/>
        <w:gridCol w:w="1534"/>
        <w:gridCol w:w="1536"/>
      </w:tblGrid>
      <w:tr>
        <w:trPr>
          <w:tblHeader/>
        </w:trPr>
        <w:tc>
          <w:tcPr>
            <w:tcW w:type="dxa" w:w="32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Candidate</w:t>
            </w:r>
          </w:p>
        </w:tc>
        <w:tc>
          <w:tcPr>
            <w:tcW w:type="dxa" w:w="12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Parameters</w:t>
            </w:r>
          </w:p>
        </w:tc>
        <w:tc>
          <w:tcPr>
            <w:tcW w:type="dxa" w:w="14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Epochs (early stop)</w:t>
            </w:r>
          </w:p>
        </w:tc>
        <w:tc>
          <w:tcPr>
            <w:tcW w:type="dxa" w:w="15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Validation ROC AUC</w:t>
            </w:r>
          </w:p>
        </w:tc>
        <w:tc>
          <w:tcPr>
            <w:tcW w:type="dxa" w:w="15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Validation PR AUC</w:t>
            </w:r>
          </w:p>
        </w:tc>
      </w:tr>
      <w:tr>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1 hidden layer (16)</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257</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60</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0.811</w:t>
            </w:r>
          </w:p>
        </w:tc>
        <w:tc>
          <w:tcPr>
            <w:tcW w:type="dxa" w:w="1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0.617</w:t>
            </w:r>
          </w:p>
        </w:tc>
      </w:tr>
      <w:tr>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 2 hidden layers (32-16)</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1,025</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0.808</w:t>
            </w:r>
          </w:p>
        </w:tc>
        <w:tc>
          <w:tcPr>
            <w:tcW w:type="dxa" w:w="1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0.599</w:t>
            </w:r>
          </w:p>
        </w:tc>
      </w:tr>
      <w:tr>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 2 hidden layers (64-32) – selected</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3,073</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28</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0.814</w:t>
            </w:r>
          </w:p>
        </w:tc>
        <w:tc>
          <w:tcPr>
            <w:tcW w:type="dxa" w:w="1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0.621</w:t>
            </w:r>
          </w:p>
        </w:tc>
      </w:tr>
      <w:tr>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 3 hidden layers (64-32-16)</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3,585</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47</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0.813</w:t>
            </w:r>
          </w:p>
        </w:tc>
        <w:tc>
          <w:tcPr>
            <w:tcW w:type="dxa" w:w="1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0.614</w:t>
            </w:r>
          </w:p>
        </w:tc>
      </w:tr>
    </w:tbl>
    <w:p>
      <w:pPr>
        <w:spacing w:after="120"/>
      </w:pPr>
    </w:p>
    <w:p>
      <w:pPr>
        <w:spacing w:after="120"/>
      </w:pPr>
      <w:r>
        <w:t xml:space="preserve">All four candidates score within 0.006 AUC of each other. Adding more depth does not help, which tells us that the limit on performance comes from the information in the 10 original variables, not from model capacity.</w:t>
      </w:r>
    </w:p>
    <w:p>
      <w:pPr>
        <w:pStyle w:val="Heading1"/>
      </w:pPr>
      <w:r>
        <w:t xml:space="preserve">Training the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068"/>
        <w:gridCol w:w="3792"/>
      </w:tblGrid>
      <w:tr>
        <w:trPr>
          <w:tblHeader/>
        </w:trPr>
        <w:tc>
          <w:tcPr>
            <w:tcW w:type="dxa" w:w="21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Setting</w:t>
            </w:r>
          </w:p>
        </w:tc>
        <w:tc>
          <w:tcPr>
            <w:tcW w:type="dxa" w:w="30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c>
          <w:tcPr>
            <w:tcW w:type="dxa" w:w="37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Reason</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Optimiser</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Adam, learning rate 0.001</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Adaptive and robust; standard choice for tabular ANNs</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Loss</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Binary cross-entropy</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Matches sigmoid output and yes/no target</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Batch size / max epochs</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32 / 200</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Small batches give useful gradient noise; early stopping decides the real length</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Class weights</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churn 0.68, Churn 1.88</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26.5% of customers churn. Weighting stops the model from just predicting “no churn”</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Early stopping</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Monitor validation AUC, patience 20, restore best weights</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Stops before overfitting; keeps the best epoch</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Learning-rate schedule</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ReduceLROnPlateau (x0.5 after 8 flat epochs, min 1e-5)</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Finer steps once progress slows</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Reproducibility</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Seed 42, deterministic TensorFlow ops</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results every run on the same versions</w:t>
            </w:r>
          </w:p>
        </w:tc>
      </w:tr>
    </w:tbl>
    <w:p>
      <w:pPr>
        <w:spacing w:after="120"/>
      </w:pPr>
    </w:p>
    <w:p>
      <w:pPr>
        <w:spacing w:after="120"/>
      </w:pPr>
      <w:r>
        <w:t xml:space="preserve">Training stopped after 28 epochs. Validation AUC peaked early (around epoch 8–10) and early stopping restored those weights. After that point training AUC kept rising while validation AUC stayed flat, which is the usual sign of overfitting starting.</w:t>
      </w:r>
    </w:p>
    <w:p>
      <w:pPr>
        <w:spacing w:after="60" w:before="120"/>
        <w:jc w:val="center"/>
      </w:pPr>
      <w:r>
        <w:drawing>
          <wp:inline distT="0" distB="0" distL="0" distR="0">
            <wp:extent cx="5619750" cy="2047875"/>
            <wp:effectExtent t="0" r="0" b="0" l="0"/>
            <wp:docPr id="1" name="training_history.png" descr="training_history.png" title="training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047875"/>
                    </a:xfrm>
                    <a:prstGeom prst="rect">
                      <a:avLst/>
                    </a:prstGeom>
                  </pic:spPr>
                </pic:pic>
              </a:graphicData>
            </a:graphic>
          </wp:inline>
        </w:drawing>
      </w:r>
    </w:p>
    <w:p>
      <w:pPr>
        <w:spacing w:after="200"/>
        <w:jc w:val="center"/>
      </w:pPr>
      <w:r>
        <w:rPr>
          <w:i/>
          <w:iCs/>
          <w:color w:val="555555"/>
          <w:sz w:val="18"/>
          <w:szCs w:val="18"/>
        </w:rPr>
        <w:t xml:space="preserve">Figure: Training and validation loss and ROC AUC by epoch</w:t>
      </w:r>
    </w:p>
    <w:p>
      <w:pPr>
        <w:pStyle w:val="Heading2"/>
      </w:pPr>
      <w:r>
        <w:t xml:space="preserve">Choosing the decision threshold</w:t>
      </w:r>
    </w:p>
    <w:p>
      <w:pPr>
        <w:spacing w:after="120"/>
      </w:pPr>
      <w:r>
        <w:t xml:space="preserve">The network outputs a probability. To turn it into a churn / no-churn prediction we need a cut-off. Because class weights push probabilities upward, the default 0.5 flags too many customers. The threshold that maximised F1 on the validation set was </w:t>
      </w:r>
      <w:r>
        <w:rPr>
          <w:b/>
          <w:bCs/>
        </w:rPr>
        <w:t xml:space="preserve">0.66</w:t>
      </w:r>
      <w:r>
        <w:t xml:space="preserve">, and this is used as the main operating point. Results at 0.5 are also reported, because a retention team that values catching churners above all may prefer it.</w:t>
      </w:r>
    </w:p>
    <w:p>
      <w:pPr>
        <w:pStyle w:val="Heading1"/>
      </w:pPr>
      <w:r>
        <w:t xml:space="preserve">Model Performance</w:t>
      </w:r>
    </w:p>
    <w:p>
      <w:pPr>
        <w:spacing w:after="120"/>
      </w:pPr>
      <w:r>
        <w:t xml:space="preserve">All results below are on the </w:t>
      </w:r>
      <w:r>
        <w:rPr>
          <w:b/>
          <w:bCs/>
        </w:rPr>
        <w:t xml:space="preserve">1,409-customer test set</w:t>
      </w:r>
      <w:r>
        <w:t xml:space="preserve">, which the model never saw during training, architecture selection or threshold tuning.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534"/>
        <w:gridCol w:w="1534"/>
        <w:gridCol w:w="1624"/>
        <w:gridCol w:w="1446"/>
      </w:tblGrid>
      <w:tr>
        <w:trPr>
          <w:tblHeader/>
        </w:trPr>
        <w:tc>
          <w:tcPr>
            <w:tcW w:type="dxa" w:w="28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Metric</w:t>
            </w:r>
          </w:p>
        </w:tc>
        <w:tc>
          <w:tcPr>
            <w:tcW w:type="dxa" w:w="15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ANN (t = 0.66)</w:t>
            </w:r>
          </w:p>
        </w:tc>
        <w:tc>
          <w:tcPr>
            <w:tcW w:type="dxa" w:w="15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ANN (t = 0.50)</w:t>
            </w:r>
          </w:p>
        </w:tc>
        <w:tc>
          <w:tcPr>
            <w:tcW w:type="dxa" w:w="16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Logistic regression</w:t>
            </w:r>
          </w:p>
        </w:tc>
        <w:tc>
          <w:tcPr>
            <w:tcW w:type="dxa" w:w="14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Always “No churn”</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Accuracy</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77.2%</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71.8%</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78.6%</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73.5%</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Precision (of flagged, % who churn)</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56.8%</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47.9%</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61.9%</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Recall (of churners, % caught)</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57.8%</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73.8%</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50.8%</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F1 score</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0.573</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0.581</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0.558</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Specificity</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84.2%</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71.0%</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88.7%</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ROC AUC</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0.805</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0.805</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0.805</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 AUC (average precision)</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0.603</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0.603</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0.606</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0.265</w:t>
            </w:r>
          </w:p>
        </w:tc>
      </w:tr>
    </w:tbl>
    <w:p>
      <w:pPr>
        <w:spacing w:after="120"/>
      </w:pPr>
    </w:p>
    <w:p>
      <w:pPr>
        <w:spacing w:after="60" w:before="120"/>
        <w:jc w:val="center"/>
      </w:pPr>
      <w:r>
        <w:drawing>
          <wp:inline distT="0" distB="0" distL="0" distR="0">
            <wp:extent cx="2857500" cy="2486025"/>
            <wp:effectExtent t="0" r="0" b="0" l="0"/>
            <wp:docPr id="2" name="confusion_matrix.png" descr="confusion_matrix.png" titl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486025"/>
                    </a:xfrm>
                    <a:prstGeom prst="rect">
                      <a:avLst/>
                    </a:prstGeom>
                  </pic:spPr>
                </pic:pic>
              </a:graphicData>
            </a:graphic>
          </wp:inline>
        </w:drawing>
      </w:r>
    </w:p>
    <w:p>
      <w:pPr>
        <w:spacing w:after="200"/>
        <w:jc w:val="center"/>
      </w:pPr>
      <w:r>
        <w:rPr>
          <w:i/>
          <w:iCs/>
          <w:color w:val="555555"/>
          <w:sz w:val="18"/>
          <w:szCs w:val="18"/>
        </w:rPr>
        <w:t xml:space="preserve">Figure: Confusion matrix on the test set at threshold 0.66</w:t>
      </w:r>
    </w:p>
    <w:p>
      <w:pPr>
        <w:spacing w:after="120"/>
      </w:pPr>
      <w:r>
        <w:t xml:space="preserve">At the 0.66 threshold the model catches </w:t>
      </w:r>
      <w:r>
        <w:rPr>
          <w:b/>
          <w:bCs/>
        </w:rPr>
        <w:t xml:space="preserve">216 of 374 churners (57.8%)</w:t>
      </w:r>
      <w:r>
        <w:t xml:space="preserve">. Of the 380 customers it flags, 216 actually churn, so a retention team working from this list would be reaching a real churner more than half the time. That compares with 26.5% if it contacted customers at random. There were 164 false alarms and 158 missed churners.</w:t>
      </w:r>
    </w:p>
    <w:p>
      <w:pPr>
        <w:spacing w:after="60" w:before="120"/>
        <w:jc w:val="center"/>
      </w:pPr>
      <w:r>
        <w:drawing>
          <wp:inline distT="0" distB="0" distL="0" distR="0">
            <wp:extent cx="5619750" cy="2047875"/>
            <wp:effectExtent t="0" r="0" b="0" l="0"/>
            <wp:docPr id="3" name="roc_pr_curves.png" descr="roc_pr_curves.png" title="roc_pr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047875"/>
                    </a:xfrm>
                    <a:prstGeom prst="rect">
                      <a:avLst/>
                    </a:prstGeom>
                  </pic:spPr>
                </pic:pic>
              </a:graphicData>
            </a:graphic>
          </wp:inline>
        </w:drawing>
      </w:r>
    </w:p>
    <w:p>
      <w:pPr>
        <w:spacing w:after="200"/>
        <w:jc w:val="center"/>
      </w:pPr>
      <w:r>
        <w:rPr>
          <w:i/>
          <w:iCs/>
          <w:color w:val="555555"/>
          <w:sz w:val="18"/>
          <w:szCs w:val="18"/>
        </w:rPr>
        <w:t xml:space="preserve">Figure: ROC and precision-recall curves on the test set</w:t>
      </w:r>
    </w:p>
    <w:p>
      <w:pPr>
        <w:pStyle w:val="Heading2"/>
      </w:pPr>
      <w:r>
        <w:t xml:space="preserve">Robustness</w:t>
      </w:r>
    </w:p>
    <w:p>
      <w:pPr>
        <w:spacing w:after="120"/>
      </w:pPr>
      <w:r>
        <w:t xml:space="preserve">To check that the result is not a lucky split, the selected architecture was retrained with </w:t>
      </w:r>
      <w:r>
        <w:rPr>
          <w:b/>
          <w:bCs/>
        </w:rPr>
        <w:t xml:space="preserve">5-fold stratified cross-validation</w:t>
      </w:r>
      <w:r>
        <w:t xml:space="preserve"> on the training + validation data. ROC AUC was </w:t>
      </w:r>
      <w:r>
        <w:rPr>
          <w:b/>
          <w:bCs/>
        </w:rPr>
        <w:t xml:space="preserve">0.824 ± 0.005</w:t>
      </w:r>
      <w:r>
        <w:t xml:space="preserve"> across folds (folds: 0.822, 0.821, 0.818, 0.827, 0.831), F1 was 0.576 ± 0.023 and recall was 55.0% ± 4.4%. The small spread shows the model is stable. The test AUC (0.805) is close to the cross-validated figure, so there is no sign of the model being tuned to one particular split.</w:t>
      </w:r>
    </w:p>
    <w:p>
      <w:pPr>
        <w:pStyle w:val="Heading2"/>
      </w:pPr>
      <w:r>
        <w:t xml:space="preserve">How to read these results</w:t>
      </w:r>
    </w:p>
    <w:p>
      <w:pPr>
        <w:pStyle w:val="ListParagraph"/>
        <w:numPr>
          <w:ilvl w:val="0"/>
          <w:numId w:val="2"/>
        </w:numPr>
        <w:spacing w:after="60"/>
      </w:pPr>
      <w:r>
        <w:t xml:space="preserve">The ANN ranks customers by risk well (AUC 0.805, so it puts a random churner above a random non-churner about 80% of the time) and is far more useful than the 73.5% “always no churn” baseline, which catches no churners at all.</w:t>
      </w:r>
    </w:p>
    <w:p>
      <w:pPr>
        <w:pStyle w:val="ListParagraph"/>
        <w:numPr>
          <w:ilvl w:val="0"/>
          <w:numId w:val="2"/>
        </w:numPr>
        <w:spacing w:after="60"/>
      </w:pPr>
      <w:r>
        <w:t xml:space="preserve">A plain logistic regression reaches the same AUC. This is an honest and important finding: with only 10 customer variables, and churn driven mostly by two of them (tenure and charges), there is little non-linear structure for a neural network to exploit. The ANN’s advantage is that it can take on richer data (usage, support calls, billing history) without redesign. See Limitations.</w:t>
      </w:r>
    </w:p>
    <w:p>
      <w:pPr>
        <w:pStyle w:val="ListParagraph"/>
        <w:numPr>
          <w:ilvl w:val="0"/>
          <w:numId w:val="2"/>
        </w:numPr>
        <w:spacing w:after="60"/>
      </w:pPr>
      <w:r>
        <w:t xml:space="preserve">Accuracy alone is misleading for this problem because of class imbalance. Recall, precision, F1 and AUC are the metrics to judge the model on.</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Team 10 – Customer Churn Analysis | ANN Architecture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2E2E"/>
      <w:sz w:val="25"/>
      <w:szCs w:val="25"/>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1a314fdc563ff1f78142ece18d4faa2f722d6a4.png"/><Relationship Id="rId9" Type="http://schemas.openxmlformats.org/officeDocument/2006/relationships/image" Target="media/1dd78ffd2f9982be288da16cd77d40784c2d0964.png"/><Relationship Id="rId10" Type="http://schemas.openxmlformats.org/officeDocument/2006/relationships/image" Target="media/14c964900ad5f02579a8bbc908665cf9850ae92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 Architecture</dc:title>
  <dc:creator>Team 10</dc:creator>
  <cp:lastModifiedBy>Un-named</cp:lastModifiedBy>
  <cp:revision>1</cp:revision>
  <dcterms:created xsi:type="dcterms:W3CDTF">2026-10-25T06:29:11.474Z</dcterms:created>
  <dcterms:modified xsi:type="dcterms:W3CDTF">2026-10-25T06:29:11.474Z</dcterms:modified>
</cp:coreProperties>
</file>

<file path=docProps/custom.xml><?xml version="1.0" encoding="utf-8"?>
<Properties xmlns="http://schemas.openxmlformats.org/officeDocument/2006/custom-properties" xmlns:vt="http://schemas.openxmlformats.org/officeDocument/2006/docPropsVTypes"/>
</file>