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97"/>
        <w:gridCol w:w="3463"/>
      </w:tblGrid>
      <w:tr>
        <w:tc>
          <w:tcPr>
            <w:tcW w:type="dxa" w:w="5897"/>
            <w:tcBorders>
              <w:top w:val="none" w:color="FFFFFF" w:sz="0"/>
              <w:left w:val="none" w:color="FFFFFF" w:sz="0"/>
              <w:bottom w:val="none" w:color="FFFFFF" w:sz="0"/>
              <w:right w:val="none" w:color="FFFFFF" w:sz="0"/>
            </w:tcBorders>
            <w:shd w:fill="1F4E79" w:val="clear"/>
            <w:tcMar>
              <w:top w:type="dxa" w:w="220"/>
              <w:left w:type="dxa" w:w="220"/>
              <w:bottom w:type="dxa" w:w="220"/>
              <w:right w:type="dxa" w:w="160"/>
            </w:tcMar>
          </w:tcPr>
          <w:p>
            <w:r>
              <w:rPr>
                <w:rFonts w:ascii="Arial" w:cs="Arial" w:eastAsia="Arial" w:hAnsi="Arial"/>
                <w:b/>
                <w:bCs/>
                <w:color w:val="FFFFFF"/>
                <w:sz w:val="38"/>
                <w:szCs w:val="38"/>
              </w:rPr>
              <w:t xml:space="preserve">Information Security Policy</w:t>
            </w:r>
          </w:p>
          <w:p>
            <w:pPr>
              <w:spacing w:before="80"/>
            </w:pPr>
            <w:r>
              <w:rPr>
                <w:rFonts w:ascii="Arial" w:cs="Arial" w:eastAsia="Arial" w:hAnsi="Arial"/>
                <w:color w:val="BDD7EE"/>
                <w:sz w:val="17"/>
                <w:szCs w:val="17"/>
              </w:rPr>
              <w:t xml:space="preserve">ISO/IEC 27001:2022 — Clause 5.2 &amp; Annex A.5.1</w:t>
            </w:r>
          </w:p>
        </w:tc>
        <w:tc>
          <w:tcPr>
            <w:tcW w:type="dxa" w:w="3463"/>
            <w:tcBorders>
              <w:top w:val="none" w:color="FFFFFF" w:sz="0"/>
              <w:left w:val="none" w:color="FFFFFF" w:sz="0"/>
              <w:bottom w:val="none" w:color="FFFFFF" w:sz="0"/>
              <w:right w:val="none" w:color="FFFFFF" w:sz="0"/>
            </w:tcBorders>
            <w:shd w:fill="D6E4F0" w:val="clear"/>
            <w:tcMar>
              <w:top w:type="dxa" w:w="180"/>
              <w:left w:type="dxa" w:w="160"/>
              <w:bottom w:type="dxa" w:w="180"/>
              <w:right w:type="dxa" w:w="160"/>
            </w:tcMar>
            <w:vAlign w:val="center"/>
          </w:tcPr>
          <w:p>
            <w:r>
              <w:rPr>
                <w:rFonts w:ascii="Arial" w:cs="Arial" w:eastAsia="Arial" w:hAnsi="Arial"/>
                <w:b/>
                <w:bCs/>
                <w:color w:val="1F4E79"/>
                <w:sz w:val="18"/>
                <w:szCs w:val="18"/>
              </w:rPr>
              <w:t xml:space="preserve">Doc ID:  ISMS-POL-ISP-001</w:t>
            </w:r>
          </w:p>
          <w:p>
            <w:r>
              <w:rPr>
                <w:rFonts w:ascii="Arial" w:cs="Arial" w:eastAsia="Arial" w:hAnsi="Arial"/>
                <w:color w:val="404040"/>
                <w:sz w:val="18"/>
                <w:szCs w:val="18"/>
              </w:rPr>
              <w:t xml:space="preserve">Version: 2.0</w:t>
            </w:r>
          </w:p>
          <w:p>
            <w:r>
              <w:rPr>
                <w:rFonts w:ascii="Arial" w:cs="Arial" w:eastAsia="Arial" w:hAnsi="Arial"/>
                <w:color w:val="404040"/>
                <w:sz w:val="18"/>
                <w:szCs w:val="18"/>
              </w:rPr>
              <w:t xml:space="preserve">Date:      [YYYY-MM-DD]</w:t>
            </w:r>
          </w:p>
          <w:p>
            <w:r>
              <w:rPr>
                <w:rFonts w:ascii="Arial" w:cs="Arial" w:eastAsia="Arial" w:hAnsi="Arial"/>
                <w:color w:val="404040"/>
                <w:sz w:val="18"/>
                <w:szCs w:val="18"/>
              </w:rPr>
              <w:t xml:space="preserve">Owner:   CISO</w:t>
            </w:r>
          </w:p>
          <w:p>
            <w:r>
              <w:rPr>
                <w:rFonts w:ascii="Arial" w:cs="Arial" w:eastAsia="Arial" w:hAnsi="Arial"/>
                <w:color w:val="404040"/>
                <w:sz w:val="18"/>
                <w:szCs w:val="18"/>
              </w:rPr>
              <w:t xml:space="preserve">Class.:    Internal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ISO Clause</w:t>
            </w:r>
          </w:p>
        </w:tc>
        <w:tc>
          <w:tcPr>
            <w:tcW w:type="dxa" w:w="69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Clause 5.2 — Policy; Annex A.5.1 — Policies for information security</w:t>
            </w:r>
          </w:p>
        </w:tc>
      </w:tr>
      <w:tr>
        <w:tc>
          <w:tcPr>
            <w:tcW w:type="dxa" w:w="2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Applies To</w:t>
            </w:r>
          </w:p>
        </w:tc>
        <w:tc>
          <w:tcPr>
            <w:tcW w:type="dxa" w:w="69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All employees, contractors, consultants, and third parties with access to [Organization] systems or data</w:t>
            </w:r>
          </w:p>
        </w:tc>
      </w:tr>
      <w:tr>
        <w:tc>
          <w:tcPr>
            <w:tcW w:type="dxa" w:w="2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Review Cycle</w:t>
            </w:r>
          </w:p>
        </w:tc>
        <w:tc>
          <w:tcPr>
            <w:tcW w:type="dxa" w:w="69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Annual, or upon significant organizational or threat-landscape change</w:t>
            </w:r>
          </w:p>
        </w:tc>
      </w:tr>
      <w:tr>
        <w:tc>
          <w:tcPr>
            <w:tcW w:type="dxa" w:w="2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Approved By</w:t>
            </w:r>
          </w:p>
        </w:tc>
        <w:tc>
          <w:tcPr>
            <w:tcW w:type="dxa" w:w="69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[CEO / Managing Director] — see Section 10</w:t>
            </w:r>
          </w:p>
        </w:tc>
      </w:tr>
      <w:tr>
        <w:tc>
          <w:tcPr>
            <w:tcW w:type="dxa" w:w="2400"/>
            <w:tcBorders>
              <w:top w:val="single" w:color="BFBFBF" w:sz="1"/>
              <w:left w:val="single" w:color="BFBFBF" w:sz="1"/>
              <w:bottom w:val="single" w:color="BFBFBF" w:sz="1"/>
              <w:right w:val="single" w:color="BFBFBF" w:sz="1"/>
            </w:tcBorders>
            <w:shd w:fill="BDD7EE" w:val="clear"/>
            <w:tcMar>
              <w:top w:type="dxa" w:w="100"/>
              <w:left w:type="dxa" w:w="140"/>
              <w:bottom w:type="dxa" w:w="100"/>
              <w:right w:type="dxa" w:w="140"/>
            </w:tcMar>
          </w:tcPr>
          <w:p>
            <w:r>
              <w:rPr>
                <w:rFonts w:ascii="Arial" w:cs="Arial" w:eastAsia="Arial" w:hAnsi="Arial"/>
                <w:b/>
                <w:bCs/>
                <w:color w:val="1F4E79"/>
                <w:sz w:val="20"/>
                <w:szCs w:val="20"/>
              </w:rPr>
              <w:t xml:space="preserve">Next Review</w:t>
            </w:r>
          </w:p>
        </w:tc>
        <w:tc>
          <w:tcPr>
            <w:tcW w:type="dxa" w:w="69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[YYYY-MM-DD]</w:t>
            </w:r>
          </w:p>
        </w:tc>
      </w:tr>
    </w:tbl>
    <w:p>
      <w:pPr>
        <w:spacing w:after="60" w:before="60"/>
      </w:pPr>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1. Purpose</w:t>
      </w:r>
    </w:p>
    <w:p>
      <w:pPr>
        <w:spacing w:after="80" w:before="80" w:line="280" w:lineRule="auto"/>
      </w:pPr>
      <w:r>
        <w:rPr>
          <w:rFonts w:ascii="Arial" w:cs="Arial" w:eastAsia="Arial" w:hAnsi="Arial"/>
          <w:color w:val="1A1A1A"/>
          <w:sz w:val="20"/>
          <w:szCs w:val="20"/>
        </w:rPr>
        <w:t xml:space="preserve">[Organization Name] is committed to protecting the confidentiality, integrity, and availability of all information it holds, processes, or transmits on behalf of its customers, employees, and partners. This Information Security Policy establishes management's commitment to information security, provides the overarching framework within which information security objectives are set, and communicates the principles that all personnel are expected to uphold.</w:t>
      </w:r>
    </w:p>
    <w:p>
      <w:pPr>
        <w:spacing w:after="60" w:before="60"/>
      </w:pPr>
      <w:r>
        <w:t xml:space="preserve"/>
      </w:r>
    </w:p>
    <w:p>
      <w:pPr>
        <w:spacing w:after="80" w:before="80" w:line="280" w:lineRule="auto"/>
      </w:pPr>
      <w:r>
        <w:rPr>
          <w:rFonts w:ascii="Arial" w:cs="Arial" w:eastAsia="Arial" w:hAnsi="Arial"/>
          <w:color w:val="1A1A1A"/>
          <w:sz w:val="20"/>
          <w:szCs w:val="20"/>
        </w:rPr>
        <w:t xml:space="preserve">This policy has been approved by top management and shall be communicated to all relevant personnel and made available to interested parties as appropriate, in accordance with Clause 5.2 and Annex A.5.1 of ISO/IEC 27001:2022.</w:t>
      </w:r>
    </w:p>
    <w:p>
      <w:pPr>
        <w:pStyle w:val="Heading1"/>
        <w:pBdr>
          <w:bottom w:val="single" w:color="2E75B6" w:sz="6" w:space="1"/>
        </w:pBdr>
        <w:spacing w:after="120" w:before="300"/>
      </w:pPr>
      <w:r>
        <w:rPr>
          <w:rFonts w:ascii="Arial" w:cs="Arial" w:eastAsia="Arial" w:hAnsi="Arial"/>
          <w:b/>
          <w:bCs/>
          <w:color w:val="1F4E79"/>
          <w:sz w:val="28"/>
          <w:szCs w:val="28"/>
        </w:rPr>
        <w:t xml:space="preserve">2. Scope</w:t>
      </w:r>
    </w:p>
    <w:p>
      <w:pPr>
        <w:spacing w:after="80" w:before="80" w:line="280" w:lineRule="auto"/>
      </w:pPr>
      <w:r>
        <w:rPr>
          <w:rFonts w:ascii="Arial" w:cs="Arial" w:eastAsia="Arial" w:hAnsi="Arial"/>
          <w:color w:val="1A1A1A"/>
          <w:sz w:val="20"/>
          <w:szCs w:val="20"/>
        </w:rPr>
        <w:t xml:space="preserve">This policy applies to all information assets — digital and physical — owned or managed by [Organization Name], across all locations, services, and entities within the ISMS scope as defined in the ISMS Scope Document (ISMS-SCO-001). It applies to:</w:t>
      </w:r>
    </w:p>
    <w:p>
      <w:pPr>
        <w:spacing w:after="60" w:before="60"/>
      </w:pPr>
      <w:r>
        <w:t xml:space="preserve"/>
      </w:r>
    </w:p>
    <w:p>
      <w:pPr>
        <w:pStyle w:val="ListParagraph"/>
        <w:numPr>
          <w:ilvl w:val="0"/>
          <w:numId w:val="2"/>
        </w:numPr>
        <w:spacing w:after="60" w:before="60"/>
      </w:pPr>
      <w:r>
        <w:rPr>
          <w:rFonts w:ascii="Arial" w:cs="Arial" w:eastAsia="Arial" w:hAnsi="Arial"/>
          <w:color w:val="1A1A1A"/>
          <w:sz w:val="20"/>
          <w:szCs w:val="20"/>
        </w:rPr>
        <w:t xml:space="preserve">All permanent and temporary employees</w:t>
      </w:r>
    </w:p>
    <w:p>
      <w:pPr>
        <w:pStyle w:val="ListParagraph"/>
        <w:numPr>
          <w:ilvl w:val="0"/>
          <w:numId w:val="2"/>
        </w:numPr>
        <w:spacing w:after="60" w:before="60"/>
      </w:pPr>
      <w:r>
        <w:rPr>
          <w:rFonts w:ascii="Arial" w:cs="Arial" w:eastAsia="Arial" w:hAnsi="Arial"/>
          <w:color w:val="1A1A1A"/>
          <w:sz w:val="20"/>
          <w:szCs w:val="20"/>
        </w:rPr>
        <w:t xml:space="preserve">Contractors, consultants, and freelancers</w:t>
      </w:r>
    </w:p>
    <w:p>
      <w:pPr>
        <w:pStyle w:val="ListParagraph"/>
        <w:numPr>
          <w:ilvl w:val="0"/>
          <w:numId w:val="2"/>
        </w:numPr>
        <w:spacing w:after="60" w:before="60"/>
      </w:pPr>
      <w:r>
        <w:rPr>
          <w:rFonts w:ascii="Arial" w:cs="Arial" w:eastAsia="Arial" w:hAnsi="Arial"/>
          <w:color w:val="1A1A1A"/>
          <w:sz w:val="20"/>
          <w:szCs w:val="20"/>
        </w:rPr>
        <w:t xml:space="preserve">Third-party suppliers and partners with access to [Organization] systems or data</w:t>
      </w:r>
    </w:p>
    <w:p>
      <w:pPr>
        <w:pStyle w:val="ListParagraph"/>
        <w:numPr>
          <w:ilvl w:val="0"/>
          <w:numId w:val="2"/>
        </w:numPr>
        <w:spacing w:after="60" w:before="60"/>
      </w:pPr>
      <w:r>
        <w:rPr>
          <w:rFonts w:ascii="Arial" w:cs="Arial" w:eastAsia="Arial" w:hAnsi="Arial"/>
          <w:color w:val="1A1A1A"/>
          <w:sz w:val="20"/>
          <w:szCs w:val="20"/>
        </w:rPr>
        <w:t xml:space="preserve">All information systems, infrastructure, cloud services, and physical facilities in scope</w:t>
      </w:r>
    </w:p>
    <w:p>
      <w:pPr>
        <w:pStyle w:val="Heading1"/>
        <w:pBdr>
          <w:bottom w:val="single" w:color="2E75B6" w:sz="6" w:space="1"/>
        </w:pBdr>
        <w:spacing w:after="120" w:before="300"/>
      </w:pPr>
      <w:r>
        <w:rPr>
          <w:rFonts w:ascii="Arial" w:cs="Arial" w:eastAsia="Arial" w:hAnsi="Arial"/>
          <w:b/>
          <w:bCs/>
          <w:color w:val="1F4E79"/>
          <w:sz w:val="28"/>
          <w:szCs w:val="28"/>
        </w:rPr>
        <w:t xml:space="preserve">3. Management Commitment</w:t>
      </w:r>
    </w:p>
    <w:p>
      <w:pPr>
        <w:spacing w:after="80" w:before="80" w:line="280" w:lineRule="auto"/>
      </w:pPr>
      <w:r>
        <w:rPr>
          <w:rFonts w:ascii="Arial" w:cs="Arial" w:eastAsia="Arial" w:hAnsi="Arial"/>
          <w:color w:val="1A1A1A"/>
          <w:sz w:val="20"/>
          <w:szCs w:val="20"/>
        </w:rPr>
        <w:t xml:space="preserve">Top management of [Organization Name] is committed to:</w:t>
      </w:r>
    </w:p>
    <w:p>
      <w:pPr>
        <w:spacing w:after="60" w:before="60"/>
      </w:pPr>
      <w:r>
        <w:t xml:space="preserve"/>
      </w:r>
    </w:p>
    <w:p>
      <w:pPr>
        <w:pStyle w:val="ListParagraph"/>
        <w:numPr>
          <w:ilvl w:val="0"/>
          <w:numId w:val="2"/>
        </w:numPr>
        <w:spacing w:after="60" w:before="60"/>
      </w:pPr>
      <w:r>
        <w:rPr>
          <w:rFonts w:ascii="Arial" w:cs="Arial" w:eastAsia="Arial" w:hAnsi="Arial"/>
          <w:color w:val="1A1A1A"/>
          <w:sz w:val="20"/>
          <w:szCs w:val="20"/>
        </w:rPr>
        <w:t xml:space="preserve">Establishing, implementing, maintaining, and continually improving the Information Security Management System (ISMS) in accordance with ISO/IEC 27001:2022.</w:t>
      </w:r>
    </w:p>
    <w:p>
      <w:pPr>
        <w:pStyle w:val="ListParagraph"/>
        <w:numPr>
          <w:ilvl w:val="0"/>
          <w:numId w:val="2"/>
        </w:numPr>
        <w:spacing w:after="60" w:before="60"/>
      </w:pPr>
      <w:r>
        <w:rPr>
          <w:rFonts w:ascii="Arial" w:cs="Arial" w:eastAsia="Arial" w:hAnsi="Arial"/>
          <w:color w:val="1A1A1A"/>
          <w:sz w:val="20"/>
          <w:szCs w:val="20"/>
        </w:rPr>
        <w:t xml:space="preserve">Meeting all applicable legal, regulatory, and contractual information security requirements.</w:t>
      </w:r>
    </w:p>
    <w:p>
      <w:pPr>
        <w:pStyle w:val="ListParagraph"/>
        <w:numPr>
          <w:ilvl w:val="0"/>
          <w:numId w:val="2"/>
        </w:numPr>
        <w:spacing w:after="60" w:before="60"/>
      </w:pPr>
      <w:r>
        <w:rPr>
          <w:rFonts w:ascii="Arial" w:cs="Arial" w:eastAsia="Arial" w:hAnsi="Arial"/>
          <w:color w:val="1A1A1A"/>
          <w:sz w:val="20"/>
          <w:szCs w:val="20"/>
        </w:rPr>
        <w:t xml:space="preserve">Continually improving the suitability, adequacy, and effectiveness of the ISMS.</w:t>
      </w:r>
    </w:p>
    <w:p>
      <w:pPr>
        <w:pStyle w:val="ListParagraph"/>
        <w:numPr>
          <w:ilvl w:val="0"/>
          <w:numId w:val="2"/>
        </w:numPr>
        <w:spacing w:after="60" w:before="60"/>
      </w:pPr>
      <w:r>
        <w:rPr>
          <w:rFonts w:ascii="Arial" w:cs="Arial" w:eastAsia="Arial" w:hAnsi="Arial"/>
          <w:color w:val="1A1A1A"/>
          <w:sz w:val="20"/>
          <w:szCs w:val="20"/>
        </w:rPr>
        <w:t xml:space="preserve">Ensuring that information security objectives are established and are compatible with the strategic direction of the organization.</w:t>
      </w:r>
    </w:p>
    <w:p>
      <w:pPr>
        <w:pStyle w:val="ListParagraph"/>
        <w:numPr>
          <w:ilvl w:val="0"/>
          <w:numId w:val="2"/>
        </w:numPr>
        <w:spacing w:after="60" w:before="60"/>
      </w:pPr>
      <w:r>
        <w:rPr>
          <w:rFonts w:ascii="Arial" w:cs="Arial" w:eastAsia="Arial" w:hAnsi="Arial"/>
          <w:color w:val="1A1A1A"/>
          <w:sz w:val="20"/>
          <w:szCs w:val="20"/>
        </w:rPr>
        <w:t xml:space="preserve">Providing the resources necessary to operate and improve the ISMS.</w:t>
      </w:r>
    </w:p>
    <w:p>
      <w:pPr>
        <w:pStyle w:val="ListParagraph"/>
        <w:numPr>
          <w:ilvl w:val="0"/>
          <w:numId w:val="2"/>
        </w:numPr>
        <w:spacing w:after="60" w:before="60"/>
      </w:pPr>
      <w:r>
        <w:rPr>
          <w:rFonts w:ascii="Arial" w:cs="Arial" w:eastAsia="Arial" w:hAnsi="Arial"/>
          <w:color w:val="1A1A1A"/>
          <w:sz w:val="20"/>
          <w:szCs w:val="20"/>
        </w:rPr>
        <w:t xml:space="preserve">Promoting a culture of information security awareness throughout the organization.</w:t>
      </w:r>
    </w:p>
    <w:p>
      <w:pPr>
        <w:pStyle w:val="Heading1"/>
        <w:pBdr>
          <w:bottom w:val="single" w:color="2E75B6" w:sz="6" w:space="1"/>
        </w:pBdr>
        <w:spacing w:after="120" w:before="300"/>
      </w:pPr>
      <w:r>
        <w:rPr>
          <w:rFonts w:ascii="Arial" w:cs="Arial" w:eastAsia="Arial" w:hAnsi="Arial"/>
          <w:b/>
          <w:bCs/>
          <w:color w:val="1F4E79"/>
          <w:sz w:val="28"/>
          <w:szCs w:val="28"/>
        </w:rPr>
        <w:t xml:space="preserve">4. Information Security Principles</w:t>
      </w:r>
    </w:p>
    <w:p>
      <w:pPr>
        <w:spacing w:after="80" w:before="80" w:line="280" w:lineRule="auto"/>
      </w:pPr>
      <w:r>
        <w:rPr>
          <w:rFonts w:ascii="Arial" w:cs="Arial" w:eastAsia="Arial" w:hAnsi="Arial"/>
          <w:color w:val="1A1A1A"/>
          <w:sz w:val="20"/>
          <w:szCs w:val="20"/>
        </w:rPr>
        <w:t xml:space="preserve">The organization's approach to information security is founded on three core principles: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Principle</w:t>
            </w:r>
          </w:p>
        </w:tc>
        <w:tc>
          <w:tcPr>
            <w:tcW w:type="dxa" w:w="77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Commitment</w:t>
            </w:r>
          </w:p>
        </w:tc>
      </w:tr>
      <w:tr>
        <w:tc>
          <w:tcPr>
            <w:tcW w:type="dxa" w:w="1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Confidentiality</w:t>
            </w:r>
          </w:p>
        </w:tc>
        <w:tc>
          <w:tcPr>
            <w:tcW w:type="dxa" w:w="7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Information is accessible only to those authorised to access it. Access is granted on a need-to-know basis and controlled through formal access management processes.</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Integrity</w:t>
            </w:r>
          </w:p>
        </w:tc>
        <w:tc>
          <w:tcPr>
            <w:tcW w:type="dxa" w:w="7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accuracy and completeness of information and processing methods is safeguarded. Unauthorised modification or destruction of information is prevented.</w:t>
            </w:r>
          </w:p>
        </w:tc>
      </w:tr>
      <w:tr>
        <w:tc>
          <w:tcPr>
            <w:tcW w:type="dxa" w:w="1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Availability</w:t>
            </w:r>
          </w:p>
        </w:tc>
        <w:tc>
          <w:tcPr>
            <w:tcW w:type="dxa" w:w="77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Information and systems are accessible and usable on demand by authorised users. Business continuity plans are maintained to ensure resilience.</w:t>
            </w:r>
          </w:p>
        </w:tc>
      </w:tr>
    </w:tbl>
    <w:p>
      <w:pPr>
        <w:spacing w:after="60" w:before="60"/>
      </w:pPr>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5. Information Security Objectives</w:t>
      </w:r>
    </w:p>
    <w:p>
      <w:pPr>
        <w:spacing w:after="80" w:before="80" w:line="280" w:lineRule="auto"/>
      </w:pPr>
      <w:r>
        <w:rPr>
          <w:rFonts w:ascii="Arial" w:cs="Arial" w:eastAsia="Arial" w:hAnsi="Arial"/>
          <w:color w:val="1A1A1A"/>
          <w:sz w:val="20"/>
          <w:szCs w:val="20"/>
        </w:rPr>
        <w:t xml:space="preserve">In accordance with Clause 6.2 of ISO/IEC 27001:2022, [Organization Name] establishes measurable information security objectives. These objectives are:</w:t>
      </w:r>
    </w:p>
    <w:p>
      <w:pPr>
        <w:spacing w:after="60" w:before="60"/>
      </w:pPr>
      <w:r>
        <w:t xml:space="preserve"/>
      </w:r>
    </w:p>
    <w:p>
      <w:pPr>
        <w:pStyle w:val="ListParagraph"/>
        <w:numPr>
          <w:ilvl w:val="0"/>
          <w:numId w:val="2"/>
        </w:numPr>
        <w:spacing w:after="60" w:before="60"/>
      </w:pPr>
      <w:r>
        <w:rPr>
          <w:rFonts w:ascii="Arial" w:cs="Arial" w:eastAsia="Arial" w:hAnsi="Arial"/>
          <w:color w:val="1A1A1A"/>
          <w:sz w:val="20"/>
          <w:szCs w:val="20"/>
        </w:rPr>
        <w:t xml:space="preserve">Consistent with this Information Security Policy.</w:t>
      </w:r>
    </w:p>
    <w:p>
      <w:pPr>
        <w:pStyle w:val="ListParagraph"/>
        <w:numPr>
          <w:ilvl w:val="0"/>
          <w:numId w:val="2"/>
        </w:numPr>
        <w:spacing w:after="60" w:before="60"/>
      </w:pPr>
      <w:r>
        <w:rPr>
          <w:rFonts w:ascii="Arial" w:cs="Arial" w:eastAsia="Arial" w:hAnsi="Arial"/>
          <w:color w:val="1A1A1A"/>
          <w:sz w:val="20"/>
          <w:szCs w:val="20"/>
        </w:rPr>
        <w:t xml:space="preserve">Measurable where practicable.</w:t>
      </w:r>
    </w:p>
    <w:p>
      <w:pPr>
        <w:pStyle w:val="ListParagraph"/>
        <w:numPr>
          <w:ilvl w:val="0"/>
          <w:numId w:val="2"/>
        </w:numPr>
        <w:spacing w:after="60" w:before="60"/>
      </w:pPr>
      <w:r>
        <w:rPr>
          <w:rFonts w:ascii="Arial" w:cs="Arial" w:eastAsia="Arial" w:hAnsi="Arial"/>
          <w:color w:val="1A1A1A"/>
          <w:sz w:val="20"/>
          <w:szCs w:val="20"/>
        </w:rPr>
        <w:t xml:space="preserve">Monitored, communicated, and updated as appropriate.</w:t>
      </w:r>
    </w:p>
    <w:p>
      <w:pPr>
        <w:pStyle w:val="ListParagraph"/>
        <w:numPr>
          <w:ilvl w:val="0"/>
          <w:numId w:val="2"/>
        </w:numPr>
        <w:spacing w:after="60" w:before="60"/>
      </w:pPr>
      <w:r>
        <w:rPr>
          <w:rFonts w:ascii="Arial" w:cs="Arial" w:eastAsia="Arial" w:hAnsi="Arial"/>
          <w:color w:val="1A1A1A"/>
          <w:sz w:val="20"/>
          <w:szCs w:val="20"/>
        </w:rPr>
        <w:t xml:space="preserve">Available as documented information.</w:t>
      </w:r>
    </w:p>
    <w:p>
      <w:pPr>
        <w:spacing w:after="60" w:before="60"/>
      </w:pPr>
      <w:r>
        <w:t xml:space="preserve"/>
      </w:r>
    </w:p>
    <w:p>
      <w:pPr>
        <w:spacing w:after="80" w:before="80" w:line="280" w:lineRule="auto"/>
      </w:pPr>
      <w:r>
        <w:rPr>
          <w:rFonts w:ascii="Arial" w:cs="Arial" w:eastAsia="Arial" w:hAnsi="Arial"/>
          <w:color w:val="1A1A1A"/>
          <w:sz w:val="20"/>
          <w:szCs w:val="20"/>
        </w:rPr>
        <w:t xml:space="preserve">Current information security objectives, with assigned owners, target measures, and timelines, are maintained and reviewed annually in the Information Security Objectives document (ISMS-OBJ-001). At a minimum, [Organization Name] aims to:</w:t>
      </w:r>
    </w:p>
    <w:p>
      <w:pPr>
        <w:spacing w:after="60" w:before="60"/>
      </w:pPr>
      <w:r>
        <w:t xml:space="preserve"/>
      </w:r>
    </w:p>
    <w:p>
      <w:pPr>
        <w:pStyle w:val="ListParagraph"/>
        <w:numPr>
          <w:ilvl w:val="0"/>
          <w:numId w:val="2"/>
        </w:numPr>
        <w:spacing w:after="60" w:before="60"/>
      </w:pPr>
      <w:r>
        <w:rPr>
          <w:rFonts w:ascii="Arial" w:cs="Arial" w:eastAsia="Arial" w:hAnsi="Arial"/>
          <w:color w:val="1A1A1A"/>
          <w:sz w:val="20"/>
          <w:szCs w:val="20"/>
        </w:rPr>
        <w:t xml:space="preserve">Protect the confidentiality of all customer, employee, and business information.</w:t>
      </w:r>
    </w:p>
    <w:p>
      <w:pPr>
        <w:pStyle w:val="ListParagraph"/>
        <w:numPr>
          <w:ilvl w:val="0"/>
          <w:numId w:val="2"/>
        </w:numPr>
        <w:spacing w:after="60" w:before="60"/>
      </w:pPr>
      <w:r>
        <w:rPr>
          <w:rFonts w:ascii="Arial" w:cs="Arial" w:eastAsia="Arial" w:hAnsi="Arial"/>
          <w:color w:val="1A1A1A"/>
          <w:sz w:val="20"/>
          <w:szCs w:val="20"/>
        </w:rPr>
        <w:t xml:space="preserve">Maintain the integrity of information throughout its lifecycle.</w:t>
      </w:r>
    </w:p>
    <w:p>
      <w:pPr>
        <w:pStyle w:val="ListParagraph"/>
        <w:numPr>
          <w:ilvl w:val="0"/>
          <w:numId w:val="2"/>
        </w:numPr>
        <w:spacing w:after="60" w:before="60"/>
      </w:pPr>
      <w:r>
        <w:rPr>
          <w:rFonts w:ascii="Arial" w:cs="Arial" w:eastAsia="Arial" w:hAnsi="Arial"/>
          <w:color w:val="1A1A1A"/>
          <w:sz w:val="20"/>
          <w:szCs w:val="20"/>
        </w:rPr>
        <w:t xml:space="preserve">Ensure the availability of critical systems in line with agreed service levels.</w:t>
      </w:r>
    </w:p>
    <w:p>
      <w:pPr>
        <w:pStyle w:val="ListParagraph"/>
        <w:numPr>
          <w:ilvl w:val="0"/>
          <w:numId w:val="2"/>
        </w:numPr>
        <w:spacing w:after="60" w:before="60"/>
      </w:pPr>
      <w:r>
        <w:rPr>
          <w:rFonts w:ascii="Arial" w:cs="Arial" w:eastAsia="Arial" w:hAnsi="Arial"/>
          <w:color w:val="1A1A1A"/>
          <w:sz w:val="20"/>
          <w:szCs w:val="20"/>
        </w:rPr>
        <w:t xml:space="preserve">Comply with all applicable legal, regulatory, and contractual requirements.</w:t>
      </w:r>
    </w:p>
    <w:p>
      <w:pPr>
        <w:pStyle w:val="ListParagraph"/>
        <w:numPr>
          <w:ilvl w:val="0"/>
          <w:numId w:val="2"/>
        </w:numPr>
        <w:spacing w:after="60" w:before="60"/>
      </w:pPr>
      <w:r>
        <w:rPr>
          <w:rFonts w:ascii="Arial" w:cs="Arial" w:eastAsia="Arial" w:hAnsi="Arial"/>
          <w:color w:val="1A1A1A"/>
          <w:sz w:val="20"/>
          <w:szCs w:val="20"/>
        </w:rPr>
        <w:t xml:space="preserve">Reduce the risk of information security incidents through continuous improvement of controls.</w:t>
      </w:r>
    </w:p>
    <w:p>
      <w:pPr>
        <w:pStyle w:val="Heading1"/>
        <w:pBdr>
          <w:bottom w:val="single" w:color="2E75B6" w:sz="6" w:space="1"/>
        </w:pBdr>
        <w:spacing w:after="120" w:before="300"/>
      </w:pPr>
      <w:r>
        <w:rPr>
          <w:rFonts w:ascii="Arial" w:cs="Arial" w:eastAsia="Arial" w:hAnsi="Arial"/>
          <w:b/>
          <w:bCs/>
          <w:color w:val="1F4E79"/>
          <w:sz w:val="28"/>
          <w:szCs w:val="28"/>
        </w:rPr>
        <w:t xml:space="preserve">6. Information Security Policy Areas</w:t>
      </w:r>
    </w:p>
    <w:p>
      <w:pPr>
        <w:spacing w:after="80" w:before="80" w:line="280" w:lineRule="auto"/>
      </w:pPr>
      <w:r>
        <w:rPr>
          <w:rFonts w:ascii="Arial" w:cs="Arial" w:eastAsia="Arial" w:hAnsi="Arial"/>
          <w:color w:val="1A1A1A"/>
          <w:sz w:val="20"/>
          <w:szCs w:val="20"/>
        </w:rPr>
        <w:t xml:space="preserve">The following areas are governed by this policy. Each is supported by topic-specific policies and procedures referenced below.</w:t>
      </w:r>
    </w:p>
    <w:p>
      <w:pPr>
        <w:spacing w:after="60" w:before="60"/>
      </w:pPr>
      <w:r>
        <w:t xml:space="preserve"/>
      </w:r>
    </w:p>
    <w:p>
      <w:pPr>
        <w:pStyle w:val="Heading2"/>
        <w:spacing w:after="80" w:before="200"/>
      </w:pPr>
      <w:r>
        <w:rPr>
          <w:rFonts w:ascii="Arial" w:cs="Arial" w:eastAsia="Arial" w:hAnsi="Arial"/>
          <w:b/>
          <w:bCs/>
          <w:color w:val="2E75B6"/>
          <w:sz w:val="22"/>
          <w:szCs w:val="22"/>
        </w:rPr>
        <w:t xml:space="preserve">6.1 Legal, Regulatory, and Contractual Compliance</w:t>
      </w:r>
    </w:p>
    <w:p>
      <w:pPr>
        <w:spacing w:after="80" w:before="80" w:line="280" w:lineRule="auto"/>
      </w:pPr>
      <w:r>
        <w:rPr>
          <w:rFonts w:ascii="Arial" w:cs="Arial" w:eastAsia="Arial" w:hAnsi="Arial"/>
          <w:color w:val="1A1A1A"/>
          <w:sz w:val="20"/>
          <w:szCs w:val="20"/>
        </w:rPr>
        <w:t xml:space="preserve">The organization shall identify, document, and keep up to date all applicable legal, regulatory, and contractual information security requirements in a Legal &amp; Compliance Register (ISMS-POL-LGL-001). The Information Security Board shall review this register and update policies and procedures as required.</w:t>
      </w:r>
    </w:p>
    <w:p>
      <w:pPr>
        <w:spacing w:after="60" w:before="60"/>
      </w:pPr>
      <w:r>
        <w:t xml:space="preserve"/>
      </w:r>
    </w:p>
    <w:p>
      <w:pPr>
        <w:pStyle w:val="Heading2"/>
        <w:spacing w:after="80" w:before="200"/>
      </w:pPr>
      <w:r>
        <w:rPr>
          <w:rFonts w:ascii="Arial" w:cs="Arial" w:eastAsia="Arial" w:hAnsi="Arial"/>
          <w:b/>
          <w:bCs/>
          <w:color w:val="2E75B6"/>
          <w:sz w:val="22"/>
          <w:szCs w:val="22"/>
        </w:rPr>
        <w:t xml:space="preserve">6.2 Hardware and Device Security</w:t>
      </w:r>
    </w:p>
    <w:p>
      <w:pPr>
        <w:spacing w:after="80" w:before="80" w:line="280" w:lineRule="auto"/>
      </w:pPr>
      <w:r>
        <w:rPr>
          <w:rFonts w:ascii="Arial" w:cs="Arial" w:eastAsia="Arial" w:hAnsi="Arial"/>
          <w:color w:val="1A1A1A"/>
          <w:sz w:val="20"/>
          <w:szCs w:val="20"/>
        </w:rPr>
        <w:t xml:space="preserve">All hardware used to access organizational information shall be managed and protected in accordance with the following principles, detailed in the Mobile Device Policy (ISMS-POL-MOB-001) and Acceptable Use Policy (ISMS-POL-AUP-001):</w:t>
      </w:r>
    </w:p>
    <w:p>
      <w:pPr>
        <w:spacing w:after="60" w:before="60"/>
      </w:pPr>
      <w:r>
        <w:t xml:space="preserve"/>
      </w:r>
    </w:p>
    <w:p>
      <w:pPr>
        <w:pStyle w:val="ListParagraph"/>
        <w:numPr>
          <w:ilvl w:val="0"/>
          <w:numId w:val="2"/>
        </w:numPr>
        <w:spacing w:after="60" w:before="60"/>
      </w:pPr>
      <w:r>
        <w:rPr>
          <w:rFonts w:ascii="Arial" w:cs="Arial" w:eastAsia="Arial" w:hAnsi="Arial"/>
          <w:color w:val="1A1A1A"/>
          <w:sz w:val="20"/>
          <w:szCs w:val="20"/>
        </w:rPr>
        <w:t xml:space="preserve">Company-owned devices shall use strong, unique passwords; full-disk encryption; and only approved cloud storage. All company software and operating systems shall be kept up to date. Devices shall be returned or securely wiped upon end of employment or contract.</w:t>
      </w:r>
    </w:p>
    <w:p>
      <w:pPr>
        <w:pStyle w:val="ListParagraph"/>
        <w:numPr>
          <w:ilvl w:val="0"/>
          <w:numId w:val="2"/>
        </w:numPr>
        <w:spacing w:after="60" w:before="60"/>
      </w:pPr>
      <w:r>
        <w:rPr>
          <w:rFonts w:ascii="Arial" w:cs="Arial" w:eastAsia="Arial" w:hAnsi="Arial"/>
          <w:color w:val="1A1A1A"/>
          <w:sz w:val="20"/>
          <w:szCs w:val="20"/>
        </w:rPr>
        <w:t xml:space="preserve">Client-owned devices shall be used only as required under the client contract and handled in accordance with the client's own security policies. Any loss shall be reported immediately to both the client and [Organization Name].</w:t>
      </w:r>
    </w:p>
    <w:p>
      <w:pPr>
        <w:pStyle w:val="ListParagraph"/>
        <w:numPr>
          <w:ilvl w:val="0"/>
          <w:numId w:val="2"/>
        </w:numPr>
        <w:spacing w:after="60" w:before="60"/>
      </w:pPr>
      <w:r>
        <w:rPr>
          <w:rFonts w:ascii="Arial" w:cs="Arial" w:eastAsia="Arial" w:hAnsi="Arial"/>
          <w:color w:val="1A1A1A"/>
          <w:sz w:val="20"/>
          <w:szCs w:val="20"/>
        </w:rPr>
        <w:t xml:space="preserve">Personal devices (BYOD) shall not have organizational cloud storage mounted. Organizational data shall not be stored on personal devices. Access to organizational services from personal devices requires password authentication on every session.</w:t>
      </w:r>
    </w:p>
    <w:p>
      <w:pPr>
        <w:spacing w:after="60" w:before="60"/>
      </w:pPr>
      <w:r>
        <w:t xml:space="preserve"/>
      </w:r>
    </w:p>
    <w:p>
      <w:pPr>
        <w:pStyle w:val="Heading2"/>
        <w:spacing w:after="80" w:before="200"/>
      </w:pPr>
      <w:r>
        <w:rPr>
          <w:rFonts w:ascii="Arial" w:cs="Arial" w:eastAsia="Arial" w:hAnsi="Arial"/>
          <w:b/>
          <w:bCs/>
          <w:color w:val="2E75B6"/>
          <w:sz w:val="22"/>
          <w:szCs w:val="22"/>
        </w:rPr>
        <w:t xml:space="preserve">6.3 Physical Security</w:t>
      </w:r>
    </w:p>
    <w:p>
      <w:pPr>
        <w:spacing w:after="80" w:before="80" w:line="280" w:lineRule="auto"/>
      </w:pPr>
      <w:r>
        <w:rPr>
          <w:rFonts w:ascii="Arial" w:cs="Arial" w:eastAsia="Arial" w:hAnsi="Arial"/>
          <w:color w:val="1A1A1A"/>
          <w:sz w:val="20"/>
          <w:szCs w:val="20"/>
        </w:rPr>
        <w:t xml:space="preserve">Access to all company premises shall be individually granted and controlled. Physical security requirements are detailed in the Physical Security Policy (ISMS-POL-PHY-001).</w:t>
      </w:r>
    </w:p>
    <w:p>
      <w:pPr>
        <w:spacing w:after="60" w:before="60"/>
      </w:pPr>
      <w:r>
        <w:t xml:space="preserve"/>
      </w:r>
    </w:p>
    <w:p>
      <w:pPr>
        <w:pStyle w:val="Heading2"/>
        <w:spacing w:after="80" w:before="200"/>
      </w:pPr>
      <w:r>
        <w:rPr>
          <w:rFonts w:ascii="Arial" w:cs="Arial" w:eastAsia="Arial" w:hAnsi="Arial"/>
          <w:b/>
          <w:bCs/>
          <w:color w:val="2E75B6"/>
          <w:sz w:val="22"/>
          <w:szCs w:val="22"/>
        </w:rPr>
        <w:t xml:space="preserve">6.4 Identity and Access Management</w:t>
      </w:r>
    </w:p>
    <w:p>
      <w:pPr>
        <w:spacing w:after="80" w:before="80" w:line="280" w:lineRule="auto"/>
      </w:pPr>
      <w:r>
        <w:rPr>
          <w:rFonts w:ascii="Arial" w:cs="Arial" w:eastAsia="Arial" w:hAnsi="Arial"/>
          <w:color w:val="1A1A1A"/>
          <w:sz w:val="20"/>
          <w:szCs w:val="20"/>
        </w:rPr>
        <w:t xml:space="preserve">Access to any organizational system or service shall be linked to a valid, signed employment, client, or supplier contract (with individual NDA where applicable). Access shall be individually provisioned on the principle of least privilege. Shared accounts shall be avoided. Access rights shall be reviewed regularly and revoked promptly upon termination. Full requirements are in the Access Control Policy (ISMS-POL-ACL-001).</w:t>
      </w:r>
    </w:p>
    <w:p>
      <w:pPr>
        <w:spacing w:after="60" w:before="60"/>
      </w:pPr>
      <w:r>
        <w:t xml:space="preserve"/>
      </w:r>
    </w:p>
    <w:p>
      <w:pPr>
        <w:pStyle w:val="Heading2"/>
        <w:spacing w:after="80" w:before="200"/>
      </w:pPr>
      <w:r>
        <w:rPr>
          <w:rFonts w:ascii="Arial" w:cs="Arial" w:eastAsia="Arial" w:hAnsi="Arial"/>
          <w:b/>
          <w:bCs/>
          <w:color w:val="2E75B6"/>
          <w:sz w:val="22"/>
          <w:szCs w:val="22"/>
        </w:rPr>
        <w:t xml:space="preserve">6.5 Cryptography</w:t>
      </w:r>
    </w:p>
    <w:p>
      <w:pPr>
        <w:spacing w:after="80" w:before="80" w:line="280" w:lineRule="auto"/>
      </w:pPr>
      <w:r>
        <w:rPr>
          <w:rFonts w:ascii="Arial" w:cs="Arial" w:eastAsia="Arial" w:hAnsi="Arial"/>
          <w:color w:val="1A1A1A"/>
          <w:sz w:val="20"/>
          <w:szCs w:val="20"/>
        </w:rPr>
        <w:t xml:space="preserve">The organization shall apply cryptographic controls to protect sensitive information in transit and at rest. Cryptographic algorithms and key sizes shall follow current recommendations from NIST (https://www.nist.gov/cryptography). Requirements are detailed in the Cryptography &amp; Key Management Policy (ISMS-POL-CRY-001).</w:t>
      </w:r>
    </w:p>
    <w:p>
      <w:pPr>
        <w:spacing w:after="60" w:before="60"/>
      </w:pPr>
      <w:r>
        <w:t xml:space="preserve"/>
      </w:r>
    </w:p>
    <w:p>
      <w:pPr>
        <w:pStyle w:val="Heading2"/>
        <w:spacing w:after="80" w:before="200"/>
      </w:pPr>
      <w:r>
        <w:rPr>
          <w:rFonts w:ascii="Arial" w:cs="Arial" w:eastAsia="Arial" w:hAnsi="Arial"/>
          <w:b/>
          <w:bCs/>
          <w:color w:val="2E75B6"/>
          <w:sz w:val="22"/>
          <w:szCs w:val="22"/>
        </w:rPr>
        <w:t xml:space="preserve">6.6 Security in System Acquisition, Development, and Operations</w:t>
      </w:r>
    </w:p>
    <w:p>
      <w:pPr>
        <w:spacing w:after="80" w:before="80" w:line="280" w:lineRule="auto"/>
      </w:pPr>
      <w:r>
        <w:rPr>
          <w:rFonts w:ascii="Arial" w:cs="Arial" w:eastAsia="Arial" w:hAnsi="Arial"/>
          <w:color w:val="1A1A1A"/>
          <w:sz w:val="20"/>
          <w:szCs w:val="20"/>
        </w:rPr>
        <w:t xml:space="preserve">Information security shall be considered at all stages of acquiring, designing, building, and operating systems and services — including requirements, design, architecture, source code, testing, documentation, and maintenance. Operational security levels shall be defined and reviewed for all activities. Requirements are in the Software Development Policy (ISMS-POL-SDD-001) and System Configuration Policy (ISMS-POL-CFG-001).</w:t>
      </w:r>
    </w:p>
    <w:p>
      <w:pPr>
        <w:spacing w:after="60" w:before="60"/>
      </w:pPr>
      <w:r>
        <w:t xml:space="preserve"/>
      </w:r>
    </w:p>
    <w:p>
      <w:pPr>
        <w:pStyle w:val="Heading2"/>
        <w:spacing w:after="80" w:before="200"/>
      </w:pPr>
      <w:r>
        <w:rPr>
          <w:rFonts w:ascii="Arial" w:cs="Arial" w:eastAsia="Arial" w:hAnsi="Arial"/>
          <w:b/>
          <w:bCs/>
          <w:color w:val="2E75B6"/>
          <w:sz w:val="22"/>
          <w:szCs w:val="22"/>
        </w:rPr>
        <w:t xml:space="preserve">6.7 Supplier and Third-Party Security</w:t>
      </w:r>
    </w:p>
    <w:p>
      <w:pPr>
        <w:spacing w:after="80" w:before="80" w:line="280" w:lineRule="auto"/>
      </w:pPr>
      <w:r>
        <w:rPr>
          <w:rFonts w:ascii="Arial" w:cs="Arial" w:eastAsia="Arial" w:hAnsi="Arial"/>
          <w:color w:val="1A1A1A"/>
          <w:sz w:val="20"/>
          <w:szCs w:val="20"/>
        </w:rPr>
        <w:t xml:space="preserve">Information security risks associated with suppliers and third parties shall be identified, assessed, and managed through contractual obligations, regular reviews, and performance monitoring. Requirements are in the Vendor &amp; Third-Party Security Policy (ISMS-POL-VND-001).</w:t>
      </w:r>
    </w:p>
    <w:p>
      <w:pPr>
        <w:spacing w:after="60" w:before="60"/>
      </w:pPr>
      <w:r>
        <w:t xml:space="preserve"/>
      </w:r>
    </w:p>
    <w:p>
      <w:pPr>
        <w:pStyle w:val="Heading2"/>
        <w:spacing w:after="80" w:before="200"/>
      </w:pPr>
      <w:r>
        <w:rPr>
          <w:rFonts w:ascii="Arial" w:cs="Arial" w:eastAsia="Arial" w:hAnsi="Arial"/>
          <w:b/>
          <w:bCs/>
          <w:color w:val="2E75B6"/>
          <w:sz w:val="22"/>
          <w:szCs w:val="22"/>
        </w:rPr>
        <w:t xml:space="preserve">6.8 Security Assessment and Testing</w:t>
      </w:r>
    </w:p>
    <w:p>
      <w:pPr>
        <w:spacing w:after="80" w:before="80" w:line="280" w:lineRule="auto"/>
      </w:pPr>
      <w:r>
        <w:rPr>
          <w:rFonts w:ascii="Arial" w:cs="Arial" w:eastAsia="Arial" w:hAnsi="Arial"/>
          <w:color w:val="1A1A1A"/>
          <w:sz w:val="20"/>
          <w:szCs w:val="20"/>
        </w:rPr>
        <w:t xml:space="preserve">All services and data storage locations — internal and client-facing — shall undergo regular security assessments. For major services, a technical security review shall be performed at least annually and following any significant change. High-security services may require third-party penetration testing.</w:t>
      </w:r>
    </w:p>
    <w:p>
      <w:pPr>
        <w:spacing w:after="60" w:before="60"/>
      </w:pPr>
      <w:r>
        <w:t xml:space="preserve"/>
      </w:r>
    </w:p>
    <w:p>
      <w:pPr>
        <w:pStyle w:val="Heading2"/>
        <w:spacing w:after="80" w:before="200"/>
      </w:pPr>
      <w:r>
        <w:rPr>
          <w:rFonts w:ascii="Arial" w:cs="Arial" w:eastAsia="Arial" w:hAnsi="Arial"/>
          <w:b/>
          <w:bCs/>
          <w:color w:val="2E75B6"/>
          <w:sz w:val="22"/>
          <w:szCs w:val="22"/>
        </w:rPr>
        <w:t xml:space="preserve">6.9 Business Continuity and Disaster Recovery</w:t>
      </w:r>
    </w:p>
    <w:p>
      <w:pPr>
        <w:spacing w:after="80" w:before="80" w:line="280" w:lineRule="auto"/>
      </w:pPr>
      <w:r>
        <w:rPr>
          <w:rFonts w:ascii="Arial" w:cs="Arial" w:eastAsia="Arial" w:hAnsi="Arial"/>
          <w:color w:val="1A1A1A"/>
          <w:sz w:val="20"/>
          <w:szCs w:val="20"/>
        </w:rPr>
        <w:t xml:space="preserve">The organization shall maintain plans for backup, recovery, and continuity of all services and data. This includes regular backup schedules, tested recovery procedures, defined recovery time and recovery point objectives, redundancy measures, and incident response capability. Requirements are in the Business Continuity Planning Policy (ISMS-POL-BCP-001) and Disaster Recovery Policy (ISMS-POL-DR-001).</w:t>
      </w:r>
    </w:p>
    <w:p>
      <w:pPr>
        <w:spacing w:after="60" w:before="60"/>
      </w:pPr>
      <w:r>
        <w:t xml:space="preserve"/>
      </w:r>
    </w:p>
    <w:p>
      <w:pPr>
        <w:pStyle w:val="Heading2"/>
        <w:spacing w:after="80" w:before="200"/>
      </w:pPr>
      <w:r>
        <w:rPr>
          <w:rFonts w:ascii="Arial" w:cs="Arial" w:eastAsia="Arial" w:hAnsi="Arial"/>
          <w:b/>
          <w:bCs/>
          <w:color w:val="2E75B6"/>
          <w:sz w:val="22"/>
          <w:szCs w:val="22"/>
        </w:rPr>
        <w:t xml:space="preserve">6.10 Information Security Incident Management</w:t>
      </w:r>
    </w:p>
    <w:p>
      <w:pPr>
        <w:spacing w:after="80" w:before="80" w:line="280" w:lineRule="auto"/>
      </w:pPr>
      <w:r>
        <w:rPr>
          <w:rFonts w:ascii="Arial" w:cs="Arial" w:eastAsia="Arial" w:hAnsi="Arial"/>
          <w:color w:val="1A1A1A"/>
          <w:sz w:val="20"/>
          <w:szCs w:val="20"/>
        </w:rPr>
        <w:t xml:space="preserve">The organization shall plan, prepare, and operate a process for detecting, reporting, assessing, responding to, and learning from information security incidents. All personnel are required to report suspected incidents promptly. Requirements are in the Incident Management Policy (ISMS-POL-INC-001).</w:t>
      </w:r>
    </w:p>
    <w:p>
      <w:pPr>
        <w:spacing w:after="60" w:before="60"/>
      </w:pPr>
      <w:r>
        <w:t xml:space="preserve"/>
      </w:r>
    </w:p>
    <w:p>
      <w:pPr>
        <w:pStyle w:val="Heading2"/>
        <w:spacing w:after="80" w:before="200"/>
      </w:pPr>
      <w:r>
        <w:rPr>
          <w:rFonts w:ascii="Arial" w:cs="Arial" w:eastAsia="Arial" w:hAnsi="Arial"/>
          <w:b/>
          <w:bCs/>
          <w:color w:val="2E75B6"/>
          <w:sz w:val="22"/>
          <w:szCs w:val="22"/>
        </w:rPr>
        <w:t xml:space="preserve">6.11 Security Awareness and Training</w:t>
      </w:r>
    </w:p>
    <w:p>
      <w:pPr>
        <w:spacing w:after="80" w:before="80" w:line="280" w:lineRule="auto"/>
      </w:pPr>
      <w:r>
        <w:rPr>
          <w:rFonts w:ascii="Arial" w:cs="Arial" w:eastAsia="Arial" w:hAnsi="Arial"/>
          <w:color w:val="1A1A1A"/>
          <w:sz w:val="20"/>
          <w:szCs w:val="20"/>
        </w:rPr>
        <w:t xml:space="preserve">All personnel shall complete mandatory information security awareness training at onboarding and on an annual basis thereafter. Training shall cover this policy, applicable topic-specific policies, how to identify and report security incidents, and safe handling of organizational data. Completion is a condition of continued system access.</w:t>
      </w:r>
    </w:p>
    <w:p>
      <w:pPr>
        <w:spacing w:after="60" w:before="60"/>
      </w:pPr>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7. Recognized Threat Categories</w:t>
      </w:r>
    </w:p>
    <w:p>
      <w:pPr>
        <w:spacing w:after="80" w:before="80" w:line="280" w:lineRule="auto"/>
      </w:pPr>
      <w:r>
        <w:rPr>
          <w:rFonts w:ascii="Arial" w:cs="Arial" w:eastAsia="Arial" w:hAnsi="Arial"/>
          <w:color w:val="1A1A1A"/>
          <w:sz w:val="20"/>
          <w:szCs w:val="20"/>
        </w:rPr>
        <w:t xml:space="preserve">The organization has identified the following threat categories as relevant to its information security risk profile. These are reviewed and updated as part of the annual risk assessment process (ISMS-RAT-001):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Threat Category</w:t>
            </w:r>
          </w:p>
        </w:tc>
        <w:tc>
          <w:tcPr>
            <w:tcW w:type="dxa" w:w="69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Risk to the Organization</w:t>
            </w:r>
          </w:p>
        </w:tc>
      </w:tr>
      <w:tr>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Former employees or suppliers</w:t>
            </w:r>
          </w:p>
        </w:tc>
        <w:tc>
          <w:tcPr>
            <w:tcW w:type="dxa" w:w="69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Leakage of sensitive information (software, source code, documentation, pricing, personal data) through failure to return or delete data upon departure.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Lone cyber criminals</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Phishing attacks, service disruption, invoice fraud, and opportunistic theft of assets.</w:t>
            </w:r>
          </w:p>
        </w:tc>
      </w:tr>
      <w:tr>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Organised crime</w:t>
            </w:r>
          </w:p>
        </w:tc>
        <w:tc>
          <w:tcPr>
            <w:tcW w:type="dxa" w:w="69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Sophisticated phishing, ransomware, and targeted fraud to extract ransom or steal high-value assets.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Competitors</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Reconnaissance of services, clients, pricing, and personnel via public or semi-public channels. Internal negligence (e.g. misdirected emails) is the primary vector for unauthorized access.</w:t>
            </w:r>
          </w:p>
        </w:tc>
      </w:tr>
      <w:tr>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Activist groups</w:t>
            </w:r>
          </w:p>
        </w:tc>
        <w:tc>
          <w:tcPr>
            <w:tcW w:type="dxa" w:w="69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Primarily a risk as a stepping stone to reach the organization's clients.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Terrorists / nation-state actors</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Primarily a risk as a stepping stone to reach the organization's clients or critical infrastructure.</w:t>
            </w:r>
          </w:p>
        </w:tc>
      </w:tr>
    </w:tbl>
    <w:p>
      <w:pPr>
        <w:spacing w:after="60" w:before="60"/>
      </w:pPr>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8. Roles and Responsibilities</w:t>
      </w:r>
    </w:p>
    <w:p>
      <w:pPr>
        <w:spacing w:after="80" w:before="80" w:line="280" w:lineRule="auto"/>
      </w:pPr>
      <w:r>
        <w:rPr>
          <w:rFonts w:ascii="Arial" w:cs="Arial" w:eastAsia="Arial" w:hAnsi="Arial"/>
          <w:color w:val="1A1A1A"/>
          <w:sz w:val="20"/>
          <w:szCs w:val="20"/>
        </w:rPr>
        <w:t xml:space="preserve">Detailed information security roles, responsibilities, and authorities are defined in the IS Roles &amp; Responsibilities document (ISMS-ROL-001). In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5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Responsibility</w:t>
            </w:r>
          </w:p>
        </w:tc>
      </w:tr>
      <w:tr>
        <w:tc>
          <w:tcPr>
            <w:tcW w:type="dxa" w:w="28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CEO / Top Management</w:t>
            </w:r>
          </w:p>
        </w:tc>
        <w:tc>
          <w:tcPr>
            <w:tcW w:type="dxa" w:w="65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Approves this policy; ensures ISMS resources; ultimate accountability for information security.</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Information Security Board</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Defines, plans, and regularly reviews information security governance across the group. Reports directly to the Board of Directors. Meets quarterly.</w:t>
            </w:r>
          </w:p>
        </w:tc>
      </w:tr>
      <w:tr>
        <w:tc>
          <w:tcPr>
            <w:tcW w:type="dxa" w:w="28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CISO / Management Representative</w:t>
            </w:r>
          </w:p>
        </w:tc>
        <w:tc>
          <w:tcPr>
            <w:tcW w:type="dxa" w:w="65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Day-to-day ISMS management; owns the risk process; reports ISMS performance to top management; coordinates audits and management reviews.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IT Management</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Implements and operates technical controls; manages infrastructure, access, and vulnerability management.</w:t>
            </w:r>
          </w:p>
        </w:tc>
      </w:tr>
      <w:tr>
        <w:tc>
          <w:tcPr>
            <w:tcW w:type="dxa" w:w="28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Human Resources</w:t>
            </w:r>
          </w:p>
        </w:tc>
        <w:tc>
          <w:tcPr>
            <w:tcW w:type="dxa" w:w="65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Manages pre-employment screening; ensures security training completion at onboarding and offboarding; administers disciplinary process for policy violations.</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All Personnel</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Read, understand, and comply with this policy and all related policies; complete mandatory security training; report incidents and suspected vulnerabilities promptly.</w:t>
            </w:r>
          </w:p>
        </w:tc>
      </w:tr>
    </w:tbl>
    <w:p>
      <w:pPr>
        <w:spacing w:after="60" w:before="60"/>
      </w:pPr>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9. Compliance and Enforcement</w:t>
      </w:r>
    </w:p>
    <w:p>
      <w:pPr>
        <w:spacing w:after="80" w:before="80" w:line="280" w:lineRule="auto"/>
      </w:pPr>
      <w:r>
        <w:rPr>
          <w:rFonts w:ascii="Arial" w:cs="Arial" w:eastAsia="Arial" w:hAnsi="Arial"/>
          <w:color w:val="1A1A1A"/>
          <w:sz w:val="20"/>
          <w:szCs w:val="20"/>
        </w:rPr>
        <w:t xml:space="preserve">All personnel are required to comply with this policy and all subordinate ISMS policies and procedures. Non-compliance may result in disciplinary action, up to and including termination of employment or contract, and may be referred to law enforcement where criminal activity is involved.</w:t>
      </w:r>
    </w:p>
    <w:p>
      <w:pPr>
        <w:spacing w:after="60" w:before="60"/>
      </w:pPr>
      <w:r>
        <w:t xml:space="preserve"/>
      </w:r>
    </w:p>
    <w:p>
      <w:pPr>
        <w:spacing w:after="80" w:before="80" w:line="280" w:lineRule="auto"/>
      </w:pPr>
      <w:r>
        <w:rPr>
          <w:rFonts w:ascii="Arial" w:cs="Arial" w:eastAsia="Arial" w:hAnsi="Arial"/>
          <w:color w:val="1A1A1A"/>
          <w:sz w:val="20"/>
          <w:szCs w:val="20"/>
        </w:rPr>
        <w:t xml:space="preserve">Compliance with this policy shall be monitored through the internal audit programme (ISMS-AUD-001) and reviewed at each Management Review meeting.</w:t>
      </w:r>
    </w:p>
    <w:p>
      <w:pPr>
        <w:pStyle w:val="Heading1"/>
        <w:pBdr>
          <w:bottom w:val="single" w:color="2E75B6" w:sz="6" w:space="1"/>
        </w:pBdr>
        <w:spacing w:after="120" w:before="300"/>
      </w:pPr>
      <w:r>
        <w:rPr>
          <w:rFonts w:ascii="Arial" w:cs="Arial" w:eastAsia="Arial" w:hAnsi="Arial"/>
          <w:b/>
          <w:bCs/>
          <w:color w:val="1F4E79"/>
          <w:sz w:val="28"/>
          <w:szCs w:val="28"/>
        </w:rPr>
        <w:t xml:space="preserve">10. Review and Approval</w:t>
      </w:r>
    </w:p>
    <w:p>
      <w:pPr>
        <w:spacing w:after="80" w:before="80" w:line="280" w:lineRule="auto"/>
      </w:pPr>
      <w:r>
        <w:rPr>
          <w:rFonts w:ascii="Arial" w:cs="Arial" w:eastAsia="Arial" w:hAnsi="Arial"/>
          <w:color w:val="1A1A1A"/>
          <w:sz w:val="20"/>
          <w:szCs w:val="20"/>
        </w:rPr>
        <w:t xml:space="preserve">This policy shall be reviewed at least annually by the CISO and approved by the CEO. Reviews shall also be triggered by significant changes to the organization, its services, or the threat environment, and shall be conducted as part of the Management Review process (Clause 9.3 of ISO/IEC 27001:2022).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8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Name</w:t>
            </w:r>
          </w:p>
        </w:tc>
        <w:tc>
          <w:tcPr>
            <w:tcW w:type="dxa" w:w="39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Signature &amp; Date</w:t>
            </w:r>
          </w:p>
        </w:tc>
      </w:tr>
      <w:tr>
        <w:tc>
          <w:tcPr>
            <w:tcW w:type="dxa" w:w="2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A1A1A"/>
                <w:sz w:val="20"/>
                <w:szCs w:val="20"/>
              </w:rPr>
              <w:t xml:space="preserve">Chief Executive Officer</w:t>
            </w:r>
          </w:p>
        </w:tc>
        <w:tc>
          <w:tcPr>
            <w:tcW w:type="dxa" w:w="28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[Full Name]</w:t>
            </w:r>
          </w:p>
        </w:tc>
        <w:tc>
          <w:tcPr>
            <w:tcW w:type="dxa" w:w="39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CISO / Management Representative</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[Full Name]</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[Date]</w:t>
            </w:r>
          </w:p>
        </w:tc>
      </w:tr>
    </w:tbl>
    <w:p>
      <w:pPr>
        <w:spacing w:after="60" w:before="60"/>
      </w:pPr>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11.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 ID</w:t>
            </w:r>
          </w:p>
        </w:tc>
        <w:tc>
          <w:tcPr>
            <w:tcW w:type="dxa" w:w="3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Title</w:t>
            </w:r>
          </w:p>
        </w:tc>
        <w:tc>
          <w:tcPr>
            <w:tcW w:type="dxa" w:w="33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Relevance</w:t>
            </w:r>
          </w:p>
        </w:tc>
      </w:tr>
      <w:tr>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ISMS-SCO-001</w:t>
            </w:r>
          </w:p>
        </w:tc>
        <w:tc>
          <w:tcPr>
            <w:tcW w:type="dxa" w:w="3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ISMS Scope Document</w:t>
            </w:r>
          </w:p>
        </w:tc>
        <w:tc>
          <w:tcPr>
            <w:tcW w:type="dxa" w:w="33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Defines boundaries of the ISMS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ISMS-ROL-001</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IS Roles &amp; Responsibilities</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Detailed role definitions and RACI</w:t>
            </w:r>
          </w:p>
        </w:tc>
      </w:tr>
      <w:tr>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ISMS-OBJ-001</w:t>
            </w:r>
          </w:p>
        </w:tc>
        <w:tc>
          <w:tcPr>
            <w:tcW w:type="dxa" w:w="3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Information Security Objectives</w:t>
            </w:r>
          </w:p>
        </w:tc>
        <w:tc>
          <w:tcPr>
            <w:tcW w:type="dxa" w:w="33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Measurable IS objectives and targets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ISMS-POL-RSK-001</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Risk Management Policy</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Risk assessment and treatment methodology</w:t>
            </w:r>
          </w:p>
        </w:tc>
      </w:tr>
      <w:tr>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ISMS-RAT-001</w:t>
            </w:r>
          </w:p>
        </w:tc>
        <w:tc>
          <w:tcPr>
            <w:tcW w:type="dxa" w:w="3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Risk Assessment &amp; Treatment Register</w:t>
            </w:r>
          </w:p>
        </w:tc>
        <w:tc>
          <w:tcPr>
            <w:tcW w:type="dxa" w:w="33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Live risk register</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ISMS-SOA-001</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Statement of Applicability</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Annex A control applicability</w:t>
            </w:r>
          </w:p>
        </w:tc>
      </w:tr>
      <w:tr>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ISMS-POL-LGL-001</w:t>
            </w:r>
          </w:p>
        </w:tc>
        <w:tc>
          <w:tcPr>
            <w:tcW w:type="dxa" w:w="3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Legal &amp; Compliance Policy</w:t>
            </w:r>
          </w:p>
        </w:tc>
        <w:tc>
          <w:tcPr>
            <w:tcW w:type="dxa" w:w="33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Regulatory and contractual requirements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ISMS-POL-AUP-001</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Acceptable Use Policy</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Rules for use of organizational assets</w:t>
            </w:r>
          </w:p>
        </w:tc>
      </w:tr>
      <w:tr>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ISMS-POL-MOB-001</w:t>
            </w:r>
          </w:p>
        </w:tc>
        <w:tc>
          <w:tcPr>
            <w:tcW w:type="dxa" w:w="3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Mobile Device Policy</w:t>
            </w:r>
          </w:p>
        </w:tc>
        <w:tc>
          <w:tcPr>
            <w:tcW w:type="dxa" w:w="33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Company / client / BYOD device rules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ISMS-POL-ACL-001</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Access Control Policy</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Access provisioning and review</w:t>
            </w:r>
          </w:p>
        </w:tc>
      </w:tr>
      <w:tr>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ISMS-POL-CRY-001</w:t>
            </w:r>
          </w:p>
        </w:tc>
        <w:tc>
          <w:tcPr>
            <w:tcW w:type="dxa" w:w="3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Cryptography &amp; Key Management Policy</w:t>
            </w:r>
          </w:p>
        </w:tc>
        <w:tc>
          <w:tcPr>
            <w:tcW w:type="dxa" w:w="33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Encryption standards and key lifecycle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ISMS-POL-PHY-001</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Physical Security Policy</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Premises access and physical controls</w:t>
            </w:r>
          </w:p>
        </w:tc>
      </w:tr>
      <w:tr>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ISMS-POL-VND-001</w:t>
            </w:r>
          </w:p>
        </w:tc>
        <w:tc>
          <w:tcPr>
            <w:tcW w:type="dxa" w:w="3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Vendor &amp; Third-Party Security Policy</w:t>
            </w:r>
          </w:p>
        </w:tc>
        <w:tc>
          <w:tcPr>
            <w:tcW w:type="dxa" w:w="33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Supplier assessment and management</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ISMS-POL-INC-001</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Incident Management Policy</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Incident detection, response, and review</w:t>
            </w:r>
          </w:p>
        </w:tc>
      </w:tr>
      <w:tr>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ISMS-POL-BCP-001</w:t>
            </w:r>
          </w:p>
        </w:tc>
        <w:tc>
          <w:tcPr>
            <w:tcW w:type="dxa" w:w="3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Business Continuity Planning Policy</w:t>
            </w:r>
          </w:p>
        </w:tc>
        <w:tc>
          <w:tcPr>
            <w:tcW w:type="dxa" w:w="33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Continuity and recovery planning</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ISMS-POL-DR-001</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Disaster Recovery Policy</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DR procedures and testing</w:t>
            </w:r>
          </w:p>
        </w:tc>
      </w:tr>
      <w:tr>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ISMS-POL-SDD-001</w:t>
            </w:r>
          </w:p>
        </w:tc>
        <w:tc>
          <w:tcPr>
            <w:tcW w:type="dxa" w:w="3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Software Development Policy</w:t>
            </w:r>
          </w:p>
        </w:tc>
        <w:tc>
          <w:tcPr>
            <w:tcW w:type="dxa" w:w="33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Secure SDLC requirements</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F4E79"/>
                <w:sz w:val="20"/>
                <w:szCs w:val="20"/>
              </w:rPr>
              <w:t xml:space="preserve">ISMS-POL-CFG-001</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System Configuration Policy</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Hardening and baseline management</w:t>
            </w:r>
          </w:p>
        </w:tc>
      </w:tr>
      <w:tr>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F4E79"/>
                <w:sz w:val="20"/>
                <w:szCs w:val="20"/>
              </w:rPr>
              <w:t xml:space="preserve">ISMS-AUD-001</w:t>
            </w:r>
          </w:p>
        </w:tc>
        <w:tc>
          <w:tcPr>
            <w:tcW w:type="dxa" w:w="3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Internal Audit Policy &amp; Programme</w:t>
            </w:r>
          </w:p>
        </w:tc>
        <w:tc>
          <w:tcPr>
            <w:tcW w:type="dxa" w:w="33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Audit frequency, scope, and reporting</w:t>
            </w:r>
          </w:p>
        </w:tc>
      </w:tr>
    </w:tbl>
    <w:p>
      <w:pPr>
        <w:spacing w:after="60" w:before="60"/>
      </w:pPr>
      <w:r>
        <w:t xml:space="preserve"/>
      </w:r>
    </w:p>
    <w:p>
      <w:pPr>
        <w:pStyle w:val="Heading1"/>
        <w:pBdr>
          <w:bottom w:val="single" w:color="2E75B6" w:sz="6" w:space="1"/>
        </w:pBdr>
        <w:spacing w:after="120" w:before="300"/>
      </w:pPr>
      <w:r>
        <w:rPr>
          <w:rFonts w:ascii="Arial" w:cs="Arial" w:eastAsia="Arial" w:hAnsi="Arial"/>
          <w:b/>
          <w:bCs/>
          <w:color w:val="1F4E79"/>
          <w:sz w:val="28"/>
          <w:szCs w:val="28"/>
        </w:rPr>
        <w:t xml:space="preserve">12.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c>
          <w:tcPr>
            <w:tcW w:type="dxa" w:w="12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6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40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4160"/>
            <w:tcBorders>
              <w:top w:val="single" w:color="FFFFFF" w:sz="1"/>
              <w:left w:val="single" w:color="FFFFFF" w:sz="1"/>
              <w:bottom w:val="single" w:color="FFFFFF" w:sz="1"/>
              <w:right w:val="single" w:color="FFFFFF"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Summary of Changes</w:t>
            </w:r>
          </w:p>
        </w:tc>
      </w:tr>
      <w:tr>
        <w:tc>
          <w:tcPr>
            <w:tcW w:type="dxa" w:w="12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bCs/>
                <w:color w:val="1A1A1A"/>
                <w:sz w:val="20"/>
                <w:szCs w:val="20"/>
              </w:rPr>
              <w:t xml:space="preserve">1.x</w:t>
            </w:r>
          </w:p>
        </w:tc>
        <w:tc>
          <w:tcPr>
            <w:tcW w:type="dxa" w:w="16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2022–2025</w:t>
            </w:r>
          </w:p>
        </w:tc>
        <w:tc>
          <w:tcPr>
            <w:tcW w:type="dxa" w:w="240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[Various]</w:t>
            </w:r>
          </w:p>
        </w:tc>
        <w:tc>
          <w:tcPr>
            <w:tcW w:type="dxa" w:w="4160"/>
            <w:tcBorders>
              <w:top w:val="single" w:color="BFBFBF" w:sz="1"/>
              <w:left w:val="single" w:color="BFBFBF" w:sz="1"/>
              <w:bottom w:val="single" w:color="BFBFBF" w:sz="1"/>
              <w:right w:val="single" w:color="BFBFBF" w:sz="1"/>
            </w:tcBorders>
            <w:shd w:fill="EBF3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Original policy — multiple incremental updates (see prior change log)</w:t>
            </w:r>
          </w:p>
        </w:tc>
      </w:tr>
      <w:tr>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2.0</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[Date]</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[Author]</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Full rewrite for ISO/IEC 27001:2022 compliance: added management approval block, continual improvement commitment, scope reference, IS objectives framework, security training requirement, incident management reference; removed operational escalation trees and meeting agendas to operational procedures; replaced named individuals with roles throughout.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6"/>
        <w:szCs w:val="16"/>
      </w:rPr>
      <w:t xml:space="preserve">ISO/IEC 27001:2022  |  ISMS-POL-ISP-001  |  v2.0</w:t>
    </w:r>
    <w:r>
      <w:rPr>
        <w:rFonts w:ascii="Arial" w:cs="Arial" w:eastAsia="Arial" w:hAnsi="Arial"/>
        <w:color w:val="59595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595959"/>
        <w:sz w:val="16"/>
        <w:szCs w:val="16"/>
      </w:rPr>
      <w:t xml:space="preserve">INTERNAL — Information Security Policy</w:t>
    </w:r>
    <w:r>
      <w:rPr>
        <w:rFonts w:ascii="Arial" w:cs="Arial" w:eastAsia="Arial" w:hAnsi="Arial"/>
        <w:b/>
        <w:bCs/>
        <w:color w:val="2E75B6"/>
        <w:sz w:val="16"/>
        <w:szCs w:val="16"/>
      </w:rPr>
      <w:t xml:space="preserve">	[Organization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2026-05-05T07:01:05.885Z</dcterms:created>
  <dcterms:modified xsi:type="dcterms:W3CDTF">2026-05-05T07:01:05.886Z</dcterms:modified>
</cp:coreProperties>
</file>

<file path=docProps/custom.xml><?xml version="1.0" encoding="utf-8"?>
<Properties xmlns="http://schemas.openxmlformats.org/officeDocument/2006/custom-properties" xmlns:vt="http://schemas.openxmlformats.org/officeDocument/2006/docPropsVTypes"/>
</file>